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06DD96" w14:textId="77777777" w:rsidR="00DB293A" w:rsidRDefault="00DB293A" w:rsidP="00DB293A">
      <w:pPr>
        <w:pStyle w:val="Heading1"/>
        <w:rPr>
          <w:lang w:val="en-US"/>
        </w:rPr>
      </w:pPr>
      <w:bookmarkStart w:id="0" w:name="_Hlk118354962"/>
      <w:r>
        <w:t xml:space="preserve">S1 Correction of </w:t>
      </w:r>
      <w:r w:rsidRPr="00CF24FC">
        <w:rPr>
          <w:lang w:val="en-US"/>
        </w:rPr>
        <w:t>δ</w:t>
      </w:r>
      <w:r w:rsidRPr="00CF24FC">
        <w:rPr>
          <w:vertAlign w:val="superscript"/>
          <w:lang w:val="en-US"/>
        </w:rPr>
        <w:t>18</w:t>
      </w:r>
      <w:r w:rsidRPr="00CF24FC">
        <w:rPr>
          <w:lang w:val="en-US"/>
        </w:rPr>
        <w:t>O</w:t>
      </w:r>
      <w:r>
        <w:rPr>
          <w:vertAlign w:val="subscript"/>
          <w:lang w:val="en-US"/>
        </w:rPr>
        <w:t>b</w:t>
      </w:r>
      <w:r>
        <w:rPr>
          <w:lang w:val="en-US"/>
        </w:rPr>
        <w:t xml:space="preserve"> inter-lab offset</w:t>
      </w:r>
    </w:p>
    <w:p w14:paraId="47E154BC" w14:textId="26B79415" w:rsidR="00DB293A" w:rsidRPr="00DB293A" w:rsidRDefault="00DB293A" w:rsidP="00DB293A">
      <w:pPr>
        <w:rPr>
          <w:lang w:val="en-US"/>
        </w:rPr>
      </w:pPr>
      <w:r>
        <w:rPr>
          <w:lang w:val="en-US"/>
        </w:rPr>
        <w:t xml:space="preserve">In our Site U1308 records </w:t>
      </w:r>
      <w:r>
        <w:t>from 258.95–264.71 mcd</w:t>
      </w:r>
      <w:r>
        <w:rPr>
          <w:lang w:val="en-US"/>
        </w:rPr>
        <w:t xml:space="preserve"> we observe a significant inter-lab offset (Fig. S3, average: +0.29</w:t>
      </w:r>
      <w:r w:rsidRPr="004B5BFC">
        <w:rPr>
          <w:lang w:val="en-US"/>
        </w:rPr>
        <w:t>‰</w:t>
      </w:r>
      <w:r>
        <w:rPr>
          <w:lang w:val="en-US"/>
        </w:rPr>
        <w:t xml:space="preserve">)  between the </w:t>
      </w:r>
      <w:r w:rsidRPr="00CF24FC">
        <w:rPr>
          <w:lang w:val="en-US"/>
        </w:rPr>
        <w:t>δ</w:t>
      </w:r>
      <w:r w:rsidRPr="00CF24FC">
        <w:rPr>
          <w:vertAlign w:val="superscript"/>
          <w:lang w:val="en-US"/>
        </w:rPr>
        <w:t>18</w:t>
      </w:r>
      <w:r w:rsidRPr="00CF24FC">
        <w:rPr>
          <w:lang w:val="en-US"/>
        </w:rPr>
        <w:t>O</w:t>
      </w:r>
      <w:r>
        <w:rPr>
          <w:vertAlign w:val="subscript"/>
          <w:lang w:val="en-US"/>
        </w:rPr>
        <w:t>b</w:t>
      </w:r>
      <w:r>
        <w:rPr>
          <w:lang w:val="en-US"/>
        </w:rPr>
        <w:t xml:space="preserve"> measured alongside Δ</w:t>
      </w:r>
      <w:r>
        <w:rPr>
          <w:vertAlign w:val="subscript"/>
          <w:lang w:val="en-US"/>
        </w:rPr>
        <w:t>47</w:t>
      </w:r>
      <w:r>
        <w:rPr>
          <w:lang w:val="en-US"/>
        </w:rPr>
        <w:t xml:space="preserve"> and the previously published </w:t>
      </w:r>
      <w:r w:rsidRPr="00CF24FC">
        <w:rPr>
          <w:lang w:val="en-US"/>
        </w:rPr>
        <w:t>δ</w:t>
      </w:r>
      <w:r w:rsidRPr="00CF24FC">
        <w:rPr>
          <w:vertAlign w:val="superscript"/>
          <w:lang w:val="en-US"/>
        </w:rPr>
        <w:t>18</w:t>
      </w:r>
      <w:r w:rsidRPr="00CF24FC">
        <w:rPr>
          <w:lang w:val="en-US"/>
        </w:rPr>
        <w:t>O</w:t>
      </w:r>
      <w:r>
        <w:rPr>
          <w:vertAlign w:val="subscript"/>
          <w:lang w:val="en-US"/>
        </w:rPr>
        <w:t>b</w:t>
      </w:r>
      <w:r>
        <w:rPr>
          <w:lang w:val="en-US"/>
        </w:rPr>
        <w:t xml:space="preserve"> of </w:t>
      </w:r>
      <w:r>
        <w:rPr>
          <w:lang w:val="en-US"/>
        </w:rPr>
        <w:fldChar w:fldCharType="begin"/>
      </w:r>
      <w:r>
        <w:rPr>
          <w:lang w:val="en-US"/>
        </w:rPr>
        <w:instrText xml:space="preserve"> ADDIN ZOTERO_ITEM CSL_CITATION {"citationID":"RYHvnzYW","properties":{"formattedCitation":"(De Schepper et al., 2013)","plainCitation":"(De Schepper et al., 2013)","noteIndex":0},"citationItems":[{"id":2,"uris":["http://zotero.org/users/6417926/items/6U3C8BAN"],"itemData":{"id":2,"type":"article-journal","abstract":"The early Late Pliocene (3.6 to ~3.0 million years ago) is the last extended interval in Earth's history when atmospheric CO2 concentrations were comparable to today's and global climate was warmer. Yet a severe global glaciation during marine isotope stage (MIS) M2 interrupted this phase of global warmth ~3.30 million years ago, and is seen as a premature attempt of the climate system to establish an ice-age world. Here we propose a conceptual model for the glaciation and deglaciation of MIS M2 based on geochemical and palynological records from five marine sediment cores along a Caribbean to eastern North Atlantic transect. Our records show that increased Pacific-to-Atlantic flow via the Central American Seaway weakened the North Atlantic Current and attendant northward heat transport prior to MIS M2. The consequent cooling of the northern high latitude oceans permitted expansion of the continental ice sheets during MIS M2, despite near-modern atmospheric CO2 concentrations. Sea level drop during this glaciation halted the inflow of Pacific water to the Atlantic via the Central American Seaway, allowing the build-up of a Caribbean Warm Pool. Once this warm pool was large enough, the Gulf Stream–North Atlantic Current system was reinvigorated, leading to significant northward heat transport that terminated the glaciation. Before and after MIS M2, heat transport via the North Atlantic Current was crucial in maintaining warm climates comparable to those predicted for the end of this century.","container-title":"PLOS ONE","DOI":"http://dx.doi.org/10.1371/journal.pone.0081508","ISSN":"1932-6203","issue":"12","language":"eng","license":"I have retained and own the full copyright for this publication","note":"number: 12","source":"biblio.ugent.be","title":"Northern hemisphere glaciation during the globally warm early Late Pliocene","URL":"http://hdl.handle.net/1854/LU-4213153","volume":"8","author":[{"family":"De Schepper","given":"Stijn"},{"family":"Groeneveld","given":"Jeroen"},{"family":"Naafs","given":"B. David A."},{"family":"Van Renterghem","given":"Cédéric"},{"family":"Hennissen","given":"Jan"},{"family":"Head","given":"Martin"},{"family":"Louwye","given":"Stephen"},{"family":"Fabian","given":"Karl"}],"accessed":{"date-parts":[["2020",3,5]]},"issued":{"date-parts":[["2013"]]}}}],"schema":"https://github.com/citation-style-language/schema/raw/master/csl-citation.json"} </w:instrText>
      </w:r>
      <w:r>
        <w:rPr>
          <w:lang w:val="en-US"/>
        </w:rPr>
        <w:fldChar w:fldCharType="separate"/>
      </w:r>
      <w:r w:rsidRPr="00A67372">
        <w:t xml:space="preserve">De Schepper et al. </w:t>
      </w:r>
      <w:r>
        <w:t>(</w:t>
      </w:r>
      <w:r w:rsidRPr="00A67372">
        <w:t>2013)</w:t>
      </w:r>
      <w:r>
        <w:rPr>
          <w:lang w:val="en-US"/>
        </w:rPr>
        <w:fldChar w:fldCharType="end"/>
      </w:r>
      <w:r>
        <w:rPr>
          <w:lang w:val="en-US"/>
        </w:rPr>
        <w:t xml:space="preserve">. In the adjacent interval from </w:t>
      </w:r>
      <w:r>
        <w:t>253.95–259.01 mcd</w:t>
      </w:r>
      <w:r>
        <w:rPr>
          <w:lang w:val="en-US"/>
        </w:rPr>
        <w:t xml:space="preserve"> we find that the </w:t>
      </w:r>
      <w:r w:rsidRPr="00CF24FC">
        <w:rPr>
          <w:lang w:val="en-US"/>
        </w:rPr>
        <w:t>δ</w:t>
      </w:r>
      <w:r w:rsidRPr="00CF24FC">
        <w:rPr>
          <w:vertAlign w:val="superscript"/>
          <w:lang w:val="en-US"/>
        </w:rPr>
        <w:t>18</w:t>
      </w:r>
      <w:r w:rsidRPr="00CF24FC">
        <w:rPr>
          <w:lang w:val="en-US"/>
        </w:rPr>
        <w:t>O</w:t>
      </w:r>
      <w:r>
        <w:rPr>
          <w:vertAlign w:val="subscript"/>
          <w:lang w:val="en-US"/>
        </w:rPr>
        <w:t>b</w:t>
      </w:r>
      <w:r>
        <w:rPr>
          <w:lang w:val="en-US"/>
        </w:rPr>
        <w:t xml:space="preserve"> (corrected for species-specific offsets) measured alongside Δ</w:t>
      </w:r>
      <w:r>
        <w:rPr>
          <w:vertAlign w:val="subscript"/>
          <w:lang w:val="en-US"/>
        </w:rPr>
        <w:t xml:space="preserve">47 </w:t>
      </w:r>
      <w:r>
        <w:rPr>
          <w:lang w:val="en-US"/>
        </w:rPr>
        <w:t xml:space="preserve">is in good agreement with our new stable isotope data from </w:t>
      </w:r>
      <w:r w:rsidRPr="00CF24FC">
        <w:rPr>
          <w:i/>
          <w:iCs/>
          <w:lang w:val="en-US"/>
        </w:rPr>
        <w:t>C. wuellerstorfi</w:t>
      </w:r>
      <w:r w:rsidRPr="00CF24FC">
        <w:rPr>
          <w:lang w:val="en-US"/>
        </w:rPr>
        <w:t xml:space="preserve"> and </w:t>
      </w:r>
      <w:r w:rsidRPr="00CF24FC">
        <w:rPr>
          <w:i/>
          <w:iCs/>
          <w:lang w:val="en-US"/>
        </w:rPr>
        <w:t>C. mundulus</w:t>
      </w:r>
      <w:r>
        <w:rPr>
          <w:lang w:val="en-US"/>
        </w:rPr>
        <w:t xml:space="preserve"> measured on a different instrument. Due to the good agreement between our two new sets of stable isotope data, we have adjusted the published </w:t>
      </w:r>
      <w:r w:rsidRPr="00CF24FC">
        <w:rPr>
          <w:lang w:val="en-US"/>
        </w:rPr>
        <w:t>δ</w:t>
      </w:r>
      <w:r w:rsidRPr="00CF24FC">
        <w:rPr>
          <w:vertAlign w:val="superscript"/>
          <w:lang w:val="en-US"/>
        </w:rPr>
        <w:t>18</w:t>
      </w:r>
      <w:r w:rsidRPr="00CF24FC">
        <w:rPr>
          <w:lang w:val="en-US"/>
        </w:rPr>
        <w:t>O</w:t>
      </w:r>
      <w:r>
        <w:rPr>
          <w:vertAlign w:val="subscript"/>
          <w:lang w:val="en-US"/>
        </w:rPr>
        <w:t>b</w:t>
      </w:r>
      <w:r w:rsidRPr="008B31C3">
        <w:rPr>
          <w:lang w:val="en-US"/>
        </w:rPr>
        <w:t xml:space="preserve">-data of </w:t>
      </w:r>
      <w:r>
        <w:rPr>
          <w:lang w:val="en-US"/>
        </w:rPr>
        <w:fldChar w:fldCharType="begin"/>
      </w:r>
      <w:r w:rsidRPr="008B31C3">
        <w:rPr>
          <w:lang w:val="en-US"/>
        </w:rPr>
        <w:instrText xml:space="preserve"> ADDIN ZOTERO_ITEM CSL_CITATION {"citationID":"TcHre8LO","properties":{"formattedCitation":"(De Schepper et al., 2013)","plainCitation":"(De Schepper et al., 2013)","noteIndex":0},"citationItems":[{"id":2,"uris":["http://zotero.org/users/6417926/items/6U3C8BAN"],"itemData":{"id":2,"type":"article-journal","abstract":"The early Late Pliocene (3.6 to ~3.0 million years ago) is the last extended interval in Earth's history when atmospheric CO2 concentrations were comparable to today's and global climate was warmer. Yet a severe global glaciation during marine isotope stage (MIS) M2 interrupted this phase of global warmth ~3.30 million years ago, and is seen as a premature attempt of the climate system to establish an ice-age world. Here we propose a conceptual model for the glaciation and deglaciation of MIS M2 based on geochemical and palynological records from five marine sediment cores along a Caribbean to eastern North Atlantic transect. Our records show that increased Pacific-to-Atlantic flow via the Central American Seaway weakened the North Atlantic Current and attendant northward heat transport prior to MIS M2. The consequent cooling of the northern high latitude oceans permitted expansion of the continental ice sheets during MIS M2, despite near-modern atmospheric CO2 concentrations. Sea level drop during this glaciation halted the inflow of Pacific w</w:instrText>
      </w:r>
      <w:r w:rsidRPr="000E260D">
        <w:rPr>
          <w:lang w:val="en-US"/>
        </w:rPr>
        <w:instrText xml:space="preserve">ater to the Atlantic via the Central American Seaway, allowing the build-up of a Caribbean Warm Pool. Once this warm pool was large enough, the Gulf Stream–North Atlantic Current system was reinvigorated, leading to significant northward heat transport that terminated the glaciation. Before and after MIS M2, heat transport via the North Atlantic Current was crucial in maintaining warm climates comparable to those predicted for the end of this century.","container-title":"PLOS ONE","DOI":"http://dx.doi.org/10.1371/journal.pone.0081508","ISSN":"1932-6203","issue":"12","language":"eng","license":"I have retained and own the full copyright for this publication","note":"number: 12","source":"biblio.ugent.be","title":"Northern hemisphere glaciation during the globally warm early Late Pliocene","URL":"http://hdl.handle.net/1854/LU-4213153","volume":"8","author":[{"family":"De Schepper","given":"Stijn"},{"family":"Groeneveld","given":"Jeroen"},{"family":"Naafs","given":"B. David A."},{"family":"Van Renterghem","given":"Cédéric"},{"family":"Hennissen","given":"Jan"},{"family":"Head","given":"Martin"},{"family":"Louwye","given":"Stephen"},{"family":"Fabian","given":"Karl"}],"accessed":{"date-parts":[["2020",3,5]]},"issued":{"date-parts":[["2013"]]}}}],"schema":"https://github.com/citation-style-language/schema/raw/master/csl-citation.json"} </w:instrText>
      </w:r>
      <w:r>
        <w:rPr>
          <w:lang w:val="en-US"/>
        </w:rPr>
        <w:fldChar w:fldCharType="separate"/>
      </w:r>
      <w:r w:rsidRPr="000E260D">
        <w:rPr>
          <w:lang w:val="en-US"/>
        </w:rPr>
        <w:t xml:space="preserve">De Schepper et al. </w:t>
      </w:r>
      <w:r>
        <w:t>(</w:t>
      </w:r>
      <w:r w:rsidRPr="00D974E5">
        <w:t>2013)</w:t>
      </w:r>
      <w:r>
        <w:rPr>
          <w:lang w:val="en-US"/>
        </w:rPr>
        <w:fldChar w:fldCharType="end"/>
      </w:r>
      <w:r>
        <w:rPr>
          <w:lang w:val="en-US"/>
        </w:rPr>
        <w:t xml:space="preserve"> by 0.29</w:t>
      </w:r>
      <w:r w:rsidRPr="004B5BFC">
        <w:rPr>
          <w:lang w:val="en-US"/>
        </w:rPr>
        <w:t>‰</w:t>
      </w:r>
      <w:r>
        <w:rPr>
          <w:lang w:val="en-US"/>
        </w:rPr>
        <w:t xml:space="preserve">. This adjustment also brings the published data in better agreement with the global benthic oxygen isotope stack </w:t>
      </w:r>
      <w:r>
        <w:rPr>
          <w:lang w:val="en-US"/>
        </w:rPr>
        <w:fldChar w:fldCharType="begin"/>
      </w:r>
      <w:r>
        <w:rPr>
          <w:lang w:val="en-US"/>
        </w:rPr>
        <w:instrText xml:space="preserve"> ADDIN ZOTERO_ITEM CSL_CITATION {"citationID":"19R2jb0a","properties":{"formattedCitation":"(Lisiecki and Raymo, 2005)","plainCitation":"(Lisiecki and Raymo, 2005)","noteIndex":0},"citationItems":[{"id":1586,"uris":["http://zotero.org/users/6417926/items/7A3HRBBD"],"itemData":{"id":1586,"type":"article-journal","abstract":"We present a 5.3-Myr stack (the “LR04” stack) of benthic δ18O records from 57 globally distributed sites aligned by an automated graphic correlation algorithm. This is the first benthic δ18O stack composed of more than three records to extend beyond 850 ka, and we use its improved signal quality to identify 24 new marine isotope stages in the early Pliocene. We also present a new LR04 age model for the Pliocene-Pleistocene derived from tuning the δ18O stack to a simple ice model based on 21 June insolation at 65°N. Stacked sedimentation rates provide additional age model constraints to prevent overtuning. Despite a conservative tuning strategy, the LR04 benthic stack exhibits significant coherency with insolation in the obliquity band throughout the entire 5.3 Myr and in the precession band for more than half of the record. The LR04 stack contains significantly more variance in benthic δ18O than previously published stacks of the late Pleistocene as the result of higher-resolution records, a better alignment technique, and a greater percentage of records from the Atlantic. Finally, the relative phases of the stack's 41- and 23-kyr components suggest that the precession component of δ18O from 2.7–1.6 Ma is primarily a deep-water temperature signal and that the phase of δ18O precession response changed suddenly at 1.6 Ma.","container-title":"Paleoceanography","DOI":"10.1029/2004PA001071","ISSN":"1944-9186","issue":"1","language":"en","note":"_eprint: https://onlinelibrary.wiley.com/doi/pdf/10.1029/2004PA001071","source":"Wiley Online Library","title":"A Pliocene-Pleistocene stack of 57 globally distributed benthic δ18O records","URL":"https://onlinelibrary.wiley.com/doi/abs/10.1029/2004PA001071","volume":"20","author":[{"family":"Lisiecki","given":"Lorraine E."},{"family":"Raymo","given":"Maureen E."}],"accessed":{"date-parts":[["2022",8,23]]},"issued":{"date-parts":[["2005"]]}}}],"schema":"https://github.com/citation-style-language/schema/raw/master/csl-citation.json"} </w:instrText>
      </w:r>
      <w:r>
        <w:rPr>
          <w:lang w:val="en-US"/>
        </w:rPr>
        <w:fldChar w:fldCharType="separate"/>
      </w:r>
      <w:r w:rsidRPr="00026625">
        <w:t>(Lisiecki and Raymo, 2005)</w:t>
      </w:r>
      <w:r>
        <w:rPr>
          <w:lang w:val="en-US"/>
        </w:rPr>
        <w:fldChar w:fldCharType="end"/>
      </w:r>
      <w:r>
        <w:rPr>
          <w:lang w:val="en-US"/>
        </w:rPr>
        <w:t>.</w:t>
      </w:r>
    </w:p>
    <w:p w14:paraId="41094640" w14:textId="6203D3CD" w:rsidR="00883B36" w:rsidRDefault="00883B36" w:rsidP="00883B36">
      <w:pPr>
        <w:pStyle w:val="Heading1"/>
      </w:pPr>
      <w:r>
        <w:t>S2 Evaluation of contamination on Mg/Ca ratios of O. umbonatus</w:t>
      </w:r>
    </w:p>
    <w:p w14:paraId="1BD8EB28" w14:textId="1F643ED8" w:rsidR="00883B36" w:rsidRDefault="00883B36" w:rsidP="00883B36">
      <w:r>
        <w:t xml:space="preserve">Clay, Fe-Mn oxyhydroxides or Fe-Mn carbonate coatings that are not removed during cleaning can bias reconstructed Mg/Ca temperatures </w:t>
      </w:r>
      <w:r>
        <w:fldChar w:fldCharType="begin"/>
      </w:r>
      <w:r>
        <w:instrText xml:space="preserve"> ADDIN ZOTERO_ITEM CSL_CITATION {"citationID":"uTDKmulz","properties":{"formattedCitation":"(Barker et al., 2003)","plainCitation":"(Barker et al., 2003)","noteIndex":0},"citationItems":[{"id":1959,"uris":["http://zotero.org/users/6417926/items/HHQVJ5YE"],"itemData":{"id":1959,"type":"article-journal","abstract":"The various cleaning steps required for preparation of foraminiferal samples for Mg/Ca (and Sr/Ca) analysis are evaluated for their relative importance and effects on measured elemental ratios. It is shown that the removal of silicate contamination is the most important step for the measurement of Mg/Ca ratios. In an example, bulk sample Mg/Ca decreases from 10.5 to 2.5 mmol mol−1 during clay removal. Oxidation of organic material causes a lowering of sample Mg/Ca in the order of 10% or approximately 1°C when converted to temperature. Use of dilute acid leaching to remove adsorbed contaminants causes partial dissolution of the sample carbonate and a corresponding decrease in Mg/Ca. Reductive treatment also causes dissolution of the sample and a decrease in the Mg/Ca ratio of up to 10–15%. Sample preparation for Sr/Ca analysis does not require the same degree of rigor as is necessary for Mg/Ca work. The “within-run” reproducibility of the method described here for G. ruber in a core-top sample from the Arabian Sea was ±1.8% (mean sample ratio was 4.72 mmol mol−1). When converted to temperature, this becomes 28 ± 0.2°C. The equivalent result for Sr/Ca was ±0.5% (mean ratio = 1.44 mmol mol−1).","container-title":"Geochemistry, Geophysics, Geosystems","DOI":"10.1029/2003GC000559","ISSN":"1525-2027","issue":"9","language":"en","note":"_eprint: https://onlinelibrary.wiley.com/doi/pdf/10.1029/2003GC000559","source":"Wiley Online Library","title":"A study of cleaning procedures used for foraminiferal Mg/Ca paleothermometry","URL":"https://onlinelibrary.wiley.com/doi/abs/10.1029/2003GC000559","volume":"4","author":[{"family":"Barker","given":"S."},{"family":"Greaves","given":"M."},{"family":"Elderfield","given":"H."}],"accessed":{"date-parts":[["2022",12,1]]},"issued":{"date-parts":[["2003"]]}}}],"schema":"https://github.com/citation-style-language/schema/raw/master/csl-citation.json"} </w:instrText>
      </w:r>
      <w:r>
        <w:fldChar w:fldCharType="separate"/>
      </w:r>
      <w:r w:rsidRPr="00E15BC5">
        <w:t>(Barker et al., 2003)</w:t>
      </w:r>
      <w:r>
        <w:fldChar w:fldCharType="end"/>
      </w:r>
      <w:r>
        <w:t>. Typically, Al/Ca, Fe/Ca and Mn/Ca ratios above 0.1 mmol/mol are considered to indicate the presence of such contamination. In our samples, Al concentrations are near or below the detection limit of the ICP-OES, arguing against clay contamination. Fe/Ca ratios (Fig. S</w:t>
      </w:r>
      <w:r w:rsidR="00B30DF1">
        <w:t>4</w:t>
      </w:r>
      <w:r>
        <w:t xml:space="preserve"> and S</w:t>
      </w:r>
      <w:r w:rsidR="00B30DF1">
        <w:t>4</w:t>
      </w:r>
      <w:r>
        <w:t xml:space="preserve">) remain consistently above 0.1 mmol/mol for all Site U1308 samples (average 0.67 mmol/mol) and for a large portion of Site 849 samples (average 0.2 mmol/mol) suggesting Fe-bearing coatings might have been present on the surface of </w:t>
      </w:r>
      <w:r w:rsidRPr="002E2F93">
        <w:rPr>
          <w:i/>
          <w:iCs/>
        </w:rPr>
        <w:t>O. umbonatus</w:t>
      </w:r>
      <w:r>
        <w:t xml:space="preserve"> tests. However, we find no correlation between Fe/Ca and Mg/Ca values (R</w:t>
      </w:r>
      <w:r>
        <w:rPr>
          <w:vertAlign w:val="superscript"/>
        </w:rPr>
        <w:t>2</w:t>
      </w:r>
      <w:r>
        <w:t xml:space="preserve"> =0.25 for Site 849, R</w:t>
      </w:r>
      <w:r>
        <w:rPr>
          <w:vertAlign w:val="superscript"/>
        </w:rPr>
        <w:t>2</w:t>
      </w:r>
      <w:r>
        <w:t xml:space="preserve"> =0.01 for Site U1308) showing that high Fe/Ca ratios are not associated with high Mg/Ca values. This indicates that Fe-bearing coatings have not influenced Mg/Ca towards higher (i.e., warmer) values.</w:t>
      </w:r>
    </w:p>
    <w:p w14:paraId="3CFDDEDE" w14:textId="77777777" w:rsidR="00883B36" w:rsidRPr="00883B36" w:rsidRDefault="00883B36" w:rsidP="00A67372"/>
    <w:p w14:paraId="28E85BF1" w14:textId="29FF29B9" w:rsidR="00883B36" w:rsidRDefault="00883B36" w:rsidP="00A67372">
      <w:r>
        <w:t>Mn/Ca values are also consistently above the 0.1 mmol/mol threshold indicative of Mn-bearing coatings at both sites (Fig. S</w:t>
      </w:r>
      <w:r w:rsidR="00754BCC">
        <w:t>4</w:t>
      </w:r>
      <w:r>
        <w:t xml:space="preserve"> and S</w:t>
      </w:r>
      <w:r w:rsidR="00754BCC">
        <w:t>4</w:t>
      </w:r>
      <w:r>
        <w:t>). However, again we find no correlation between Mg/Ca and Mn/Ca (R</w:t>
      </w:r>
      <w:r>
        <w:rPr>
          <w:vertAlign w:val="superscript"/>
        </w:rPr>
        <w:t>2</w:t>
      </w:r>
      <w:r>
        <w:t xml:space="preserve"> =0.06 for Site 849, R</w:t>
      </w:r>
      <w:r>
        <w:rPr>
          <w:vertAlign w:val="superscript"/>
        </w:rPr>
        <w:t>2</w:t>
      </w:r>
      <w:r>
        <w:t xml:space="preserve"> =0.0009 for Site U1308), which would be expected if our samples were overgrown with Mn-rich coatings. Furthermore, the highest Mg/Ca ratios measured at both sites are associated with Mn/Ca values that are below the average Mn/Ca ratios for our records (1.0 mmol/mol at Site 849, 1.1 mmol/mol at Site U1308) further indicating that overgrowths did not bias the original Mg/Ca towards higher values. Additionally, SEM images do not show microcrystalline overgrowths on benthic foraminiferal test surfaces (Fig. S</w:t>
      </w:r>
      <w:r w:rsidR="00C47DE0">
        <w:t>1</w:t>
      </w:r>
      <w:r>
        <w:t xml:space="preserve"> and S</w:t>
      </w:r>
      <w:r w:rsidR="00C47DE0">
        <w:t>2</w:t>
      </w:r>
      <w:r>
        <w:t>).</w:t>
      </w:r>
    </w:p>
    <w:p w14:paraId="1CA90735" w14:textId="77777777" w:rsidR="00DB293A" w:rsidRDefault="00DB293A" w:rsidP="00A67372"/>
    <w:p w14:paraId="280B37E0" w14:textId="77777777" w:rsidR="00DB293A" w:rsidRDefault="00DB293A" w:rsidP="00DB293A">
      <w:pPr>
        <w:pStyle w:val="Heading1"/>
      </w:pPr>
      <w:r>
        <w:lastRenderedPageBreak/>
        <w:t>S3 Recalculation of published mid-Pliocene Mg/Ca records</w:t>
      </w:r>
    </w:p>
    <w:p w14:paraId="516B671D" w14:textId="77777777" w:rsidR="00DB293A" w:rsidRDefault="00DB293A" w:rsidP="00DB293A">
      <w:r>
        <w:t xml:space="preserve">To make previously published Mg/Ca records from Site 1208 </w:t>
      </w:r>
      <w:r>
        <w:fldChar w:fldCharType="begin"/>
      </w:r>
      <w:r>
        <w:instrText xml:space="preserve"> ADDIN ZOTERO_ITEM CSL_CITATION {"citationID":"Pqjjqiuk","properties":{"formattedCitation":"(Woodard et al., 2014)","plainCitation":"(Woodard et al., 2014)","noteIndex":0},"citationItems":[{"id":21,"uris":["http://zotero.org/users/6417926/items/9FQIV4U4"],"itemData":{"id":21,"type":"article-journal","container-title":"Science","DOI":"https://doi.org/10.1126/science.1255586","issue":"6211","language":"en","page":"847-851","source":"Zotero","title":"Antarctic role in Northern Hemisphere glaciation","volume":"346","author":[{"family":"Woodard","given":"Stella C"},{"family":"Rosenthal","given":"Yair"},{"family":"Miller","given":"Kenneth G"},{"family":"Wright","given":"James D"},{"family":"Chiu","given":"Beverly K"},{"family":"Lawrence","given":"Kira T"}],"issued":{"date-parts":[["2014"]]}}}],"schema":"https://github.com/citation-style-language/schema/raw/master/csl-citation.json"} </w:instrText>
      </w:r>
      <w:r>
        <w:fldChar w:fldCharType="separate"/>
      </w:r>
      <w:r w:rsidRPr="00FB041A">
        <w:t>(</w:t>
      </w:r>
      <w:r>
        <w:t xml:space="preserve">North Pacific, </w:t>
      </w:r>
      <w:r w:rsidRPr="00FB041A">
        <w:t>Woodard et al., 2014)</w:t>
      </w:r>
      <w:r>
        <w:fldChar w:fldCharType="end"/>
      </w:r>
      <w:r>
        <w:t xml:space="preserve"> and Site 607 </w:t>
      </w:r>
      <w:r>
        <w:fldChar w:fldCharType="begin"/>
      </w:r>
      <w:r>
        <w:instrText xml:space="preserve"> ADDIN ZOTERO_ITEM CSL_CITATION {"citationID":"S28GMhHW","properties":{"formattedCitation":"(Sosdian and Rosenthal, 2009)","plainCitation":"(Sosdian and Rosenthal, 2009)","noteIndex":0},"citationItems":[{"id":99,"uris":["http://zotero.org/users/6417926/items/H48RRSRQ"],"itemData":{"id":99,"type":"article-journal","abstract":"Increases in glacial ice volume and ice-sheet dynamics are implicated in two distinct climate cooling events.\nIncreases in glacial ice volume and ice-sheet dynamics are implicated in two distinct climate cooling events.","container-title":"Science","DOI":"10.1126/science.1169938","ISSN":"0036-8075, 1095-9203","issue":"5938","language":"en","license":"Copyright © 2009, American Association for the Advancement of Science","note":"publisher: American Association for the Advancement of Science\nsection: Report\nPMID: 19608915","page":"306-310","source":"science.sciencemag.org","title":"Deep-Sea Temperature and Ice Volume Changes Across the Pliocene-Pleistocene Climate Transitions","volume":"325","author":[{"family":"Sosdian","given":"Sindia"},{"family":"Rosenthal","given":"Yair"}],"issued":{"date-parts":[["2009",7,17]]}}}],"schema":"https://github.com/citation-style-language/schema/raw/master/csl-citation.json"} </w:instrText>
      </w:r>
      <w:r>
        <w:fldChar w:fldCharType="separate"/>
      </w:r>
      <w:r w:rsidRPr="00FB041A">
        <w:t>(</w:t>
      </w:r>
      <w:r>
        <w:t xml:space="preserve">North Atlantic, </w:t>
      </w:r>
      <w:proofErr w:type="spellStart"/>
      <w:r w:rsidRPr="00FB041A">
        <w:t>Sosdian</w:t>
      </w:r>
      <w:proofErr w:type="spellEnd"/>
      <w:r w:rsidRPr="00FB041A">
        <w:t xml:space="preserve"> and Rosenthal, 2009)</w:t>
      </w:r>
      <w:r>
        <w:fldChar w:fldCharType="end"/>
      </w:r>
      <w:r>
        <w:t xml:space="preserve"> more comparable to our new records, we recalculated these data to adjust for changes in Mg/</w:t>
      </w:r>
      <w:proofErr w:type="spellStart"/>
      <w:r>
        <w:t>Ca</w:t>
      </w:r>
      <w:r>
        <w:rPr>
          <w:vertAlign w:val="subscript"/>
        </w:rPr>
        <w:t>sw</w:t>
      </w:r>
      <w:proofErr w:type="spellEnd"/>
      <w:r>
        <w:t xml:space="preserve"> following </w:t>
      </w:r>
      <w:r>
        <w:fldChar w:fldCharType="begin"/>
      </w:r>
      <w:r>
        <w:instrText xml:space="preserve"> ADDIN ZOTERO_ITEM CSL_CITATION {"citationID":"UBgcqte0","properties":{"formattedCitation":"(Lear et al., 2002)","plainCitation":"(Lear et al., 2002)","noteIndex":0},"citationItems":[{"id":1580,"uris":["http://zotero.org/users/6417926/items/XWEVD9YJ"],"itemData":{"id":1580,"type":"article-journal","abstract":"Core-top samples from different ocean basins have been analyzed to refine our current understanding of the sensitivity of benthic foraminiferal calcite magnesium/calcium (Mg/Ca) to bottom water temperatures (BWT). Benthic foraminifera collected from Hawaii, Little Bahama Bank, Sea of Okhotsk, Gulf of California, NE Atlantic, Ceara Rise, Sierra Leone Rise, the Ontong Java Plateau, and the Southern Ocean covering a temperature range of 0.8 to 18°C were used to revise the Cibicidoides Mg/Ca-temperature calibration. The Mg/Ca–BWT relationship of three common Cibicidoides species is described by an exponential equation: Mg/Ca = 0.867 ± 0.049 exp (0.109 ± 0.007 × BWT) (stated errors are 95% CI). The temperature sensitivity is very similar to a previously published calibration. However, the revised calibration has a significantly different preexponential constant, resulting in different predicted absolute temperatures. We attribute this difference in the preexponential constant to an analytical issue of accuracy. Some genera, notably Uvigerina, show apparently lower temperature sensitivity than others, suggesting that the use of constant offsets to account for vital effects in Mg/Ca may not be appropriate. Downcore Mg/Ca reproducibility, as determined on replicate foraminiferal samples, is typically better than 0.1 mmol mol−1 (2 S.E.). Thus, considering the errors associated with the Cibicidoides calibration and the downcore reproducibility, BWT may be estimated to within ±1°C. Application of the revised core-top Mg/Ca–BWT data to Cenozoic foraminiferal Mg/Ca suggests that seawater Mg/Ca was not more than 35% lower than today in the ice-free ocean at 50 Ma.","container-title":"Geochimica et Cosmochimica Acta","DOI":"10.1016/S0016-7037(02)00941-9","ISSN":"0016-7037","issue":"19","journalAbbreviation":"Geochimica et Cosmochimica Acta","language":"en","page":"3375-3387","source":"ScienceDirect","title":"Benthic foraminiferal Mg/Ca-paleothermometry: a revised core-top calibration","title-short":"Benthic foraminiferal Mg/Ca-paleothermometry","volume":"66","author":[{"family":"Lear","given":"Caroline H"},{"family":"Rosenthal","given":"Yair"},{"family":"Slowey","given":"Niall"}],"issued":{"date-parts":[["2002",10,1]]}}}],"schema":"https://github.com/citation-style-language/schema/raw/master/csl-citation.json"} </w:instrText>
      </w:r>
      <w:r>
        <w:fldChar w:fldCharType="separate"/>
      </w:r>
      <w:r w:rsidRPr="00A60D72">
        <w:t xml:space="preserve">Lear et al. </w:t>
      </w:r>
      <w:r>
        <w:t>(</w:t>
      </w:r>
      <w:r w:rsidRPr="00A60D72">
        <w:t>2002)</w:t>
      </w:r>
      <w:r>
        <w:fldChar w:fldCharType="end"/>
      </w:r>
      <w:r>
        <w:t xml:space="preserve"> and using estimates of past Mg/</w:t>
      </w:r>
      <w:proofErr w:type="spellStart"/>
      <w:r>
        <w:t>Ca</w:t>
      </w:r>
      <w:r>
        <w:rPr>
          <w:vertAlign w:val="subscript"/>
        </w:rPr>
        <w:t>sw</w:t>
      </w:r>
      <w:proofErr w:type="spellEnd"/>
      <w:r>
        <w:t xml:space="preserve"> of </w:t>
      </w:r>
      <w:r>
        <w:fldChar w:fldCharType="begin"/>
      </w:r>
      <w:r>
        <w:instrText xml:space="preserve"> ADDIN ZOTERO_ITEM CSL_CITATION {"citationID":"5GmAa4cu","properties":{"formattedCitation":"(Evans et al., 2016)","plainCitation":"(Evans et al., 2016)","noteIndex":0},"citationItems":[{"id":1583,"uris":["http://zotero.org/users/6417926/items/E3X65HVG"],"itemData":{"id":1583,"type":"article-journal","abstract":"Foraminifera Mg/Ca paleothermometry forms the basis of a substantial portion of ocean temperature reconstruction over the last 5 Ma. Furthermore, coupled Mg/Ca–oxygen isotope (δ18O) measurements of benthic foraminifera can constrain eustatic sea level (ESL) independent of paleo-shoreline derived approaches. However, this technique suffers from uncertainty regarding the secular variation of the Mg/Ca seawater ratio (Mg/Casw) on timescales of millions of years. Here we present coupled seawater–test Mg/Ca–temperature laboratory calibrations of Globigerinoides ruber in order to test the widely held assumptions that (1) seawater–test Mg/Ca co-vary linearly, and (2) the Mg/Ca–temperature sensitivity remains constant with changing Mg/Casw. We find a nonlinear Mg/Catest–Mg/Casw relationship and a lowering of the Mg/Ca–temperature sensitivity at lower than modern Mg/Casw from 9.0% °C−1 at Mg/Casw = 5.2 mol mol−1 to 7.5±0.9%°C−1 at 3.4 mol mol−1. Using our calibrations to more accurately calculate the offset between Mg/Ca and biomarker-derived paleotemperatures for four sites, we derive a Pliocene Mg/Casw ratio of </w:instrText>
      </w:r>
      <w:r>
        <w:rPr>
          <w:rFonts w:ascii="Cambria Math" w:hAnsi="Cambria Math" w:cs="Cambria Math"/>
        </w:rPr>
        <w:instrText>∼</w:instrText>
      </w:r>
      <w:r>
        <w:instrText xml:space="preserve">4.3 mol mol−1. This Mg/Casw implies Pliocene ocean temperature 0.9–1.9 °C higher than previously reported and, by extension, ESL </w:instrText>
      </w:r>
      <w:r>
        <w:rPr>
          <w:rFonts w:ascii="Cambria Math" w:hAnsi="Cambria Math" w:cs="Cambria Math"/>
        </w:rPr>
        <w:instrText>∼</w:instrText>
      </w:r>
      <w:r>
        <w:instrText xml:space="preserve">30 m lower compared to when one assumes that Pliocene Mg/Casw is the same as at present. Correcting existing benthic foraminifera datasets for Mg/Casw indicates that deep water source composition must have changed through time, therefore seawater oxygen isotope reconstructions relative to present day cannot be used to directly reconstruct Pliocene ESL.","container-title":"Earth and Planetary Science Letters","DOI":"10.1016/j.epsl.2016.01.013","ISSN":"0012-821X","journalAbbreviation":"Earth and Planetary Science Letters","language":"en","page":"139-148","source":"ScienceDirect","title":"Planktic foraminifera shell chemistry response to seawater chemistry: Pliocene–Pleistocene seawater Mg/Ca, temperature and sea level change","title-short":"Planktic foraminifera shell chemistry response to seawater chemistry","volume":"438","author":[{"family":"Evans","given":"David"},{"family":"Brierley","given":"Chris"},{"family":"Raymo","given":"Maureen E."},{"family":"Erez","given":"Jonathan"},{"family":"Müller","given":"Wolfgang"}],"issued":{"date-parts":[["2016",3,15]]}}}],"schema":"https://github.com/citation-style-language/schema/raw/master/csl-citation.json"} </w:instrText>
      </w:r>
      <w:r>
        <w:fldChar w:fldCharType="separate"/>
      </w:r>
      <w:r w:rsidRPr="00BD395E">
        <w:t xml:space="preserve">Evans et al. </w:t>
      </w:r>
      <w:r>
        <w:t>(</w:t>
      </w:r>
      <w:r w:rsidRPr="00BD395E">
        <w:t>2016)</w:t>
      </w:r>
      <w:r>
        <w:fldChar w:fldCharType="end"/>
      </w:r>
      <w:r>
        <w:t xml:space="preserve">. The record of </w:t>
      </w:r>
      <w:r>
        <w:fldChar w:fldCharType="begin"/>
      </w:r>
      <w:r>
        <w:instrText xml:space="preserve"> ADDIN ZOTERO_ITEM CSL_CITATION {"citationID":"RxZzuSD8","properties":{"formattedCitation":"(Sosdian and Rosenthal, 2009)","plainCitation":"(Sosdian and Rosenthal, 2009)","noteIndex":0},"citationItems":[{"id":99,"uris":["http://zotero.org/users/6417926/items/H48RRSRQ"],"itemData":{"id":99,"type":"article-journal","abstract":"Increases in glacial ice volume and ice-sheet dynamics are implicated in two distinct climate cooling events.\nIncreases in glacial ice volume and ice-sheet dynamics are implicated in two distinct climate cooling events.","container-title":"Science","DOI":"10.1126/science.1169938","ISSN":"0036-8075, 1095-9203","issue":"5938","language":"en","license":"Copyright © 2009, American Association for the Advancement of Science","note":"publisher: American Association for the Advancement of Science\nsection: Report\nPMID: 19608915","page":"306-310","source":"science.sciencemag.org","title":"Deep-Sea Temperature and Ice Volume Changes Across the Pliocene-Pleistocene Climate Transitions","volume":"325","author":[{"family":"Sosdian","given":"Sindia"},{"family":"Rosenthal","given":"Yair"}],"issued":{"date-parts":[["2009",7,17]]}}}],"schema":"https://github.com/citation-style-language/schema/raw/master/csl-citation.json"} </w:instrText>
      </w:r>
      <w:r>
        <w:fldChar w:fldCharType="separate"/>
      </w:r>
      <w:proofErr w:type="spellStart"/>
      <w:r w:rsidRPr="00BD395E">
        <w:t>Sosdian</w:t>
      </w:r>
      <w:proofErr w:type="spellEnd"/>
      <w:r w:rsidRPr="00BD395E">
        <w:t xml:space="preserve"> and Rosenthal </w:t>
      </w:r>
      <w:r>
        <w:t>(</w:t>
      </w:r>
      <w:r w:rsidRPr="00BD395E">
        <w:t>2009)</w:t>
      </w:r>
      <w:r>
        <w:fldChar w:fldCharType="end"/>
      </w:r>
      <w:r>
        <w:t xml:space="preserve"> was generated on </w:t>
      </w:r>
      <w:r w:rsidRPr="00BD395E">
        <w:rPr>
          <w:i/>
          <w:iCs/>
        </w:rPr>
        <w:t xml:space="preserve">C. wuellerstorfi </w:t>
      </w:r>
      <w:r>
        <w:t xml:space="preserve">and </w:t>
      </w:r>
      <w:r w:rsidRPr="00BD395E">
        <w:rPr>
          <w:i/>
          <w:iCs/>
        </w:rPr>
        <w:t>O. umbonatus</w:t>
      </w:r>
      <w:r>
        <w:t xml:space="preserve">. From their full dataset, they calculate an interspecies Mg/Ca offset of 0.16 mmol/mol. After normalizing </w:t>
      </w:r>
      <w:r w:rsidRPr="003564A5">
        <w:rPr>
          <w:i/>
          <w:iCs/>
        </w:rPr>
        <w:t>O. umbonatus</w:t>
      </w:r>
      <w:r>
        <w:t xml:space="preserve"> to </w:t>
      </w:r>
      <w:r w:rsidRPr="003564A5">
        <w:rPr>
          <w:i/>
          <w:iCs/>
        </w:rPr>
        <w:t>C. wuellerstorfi</w:t>
      </w:r>
      <w:r>
        <w:t xml:space="preserve">, their published temperatures were calculated by applying a regional </w:t>
      </w:r>
      <w:r w:rsidRPr="003564A5">
        <w:rPr>
          <w:i/>
          <w:iCs/>
        </w:rPr>
        <w:t>Cibicidoides</w:t>
      </w:r>
      <w:r>
        <w:t xml:space="preserve"> Mg/Ca-temperature calibration to the composite Mg/Ca record. Here, we instead normalize values to </w:t>
      </w:r>
      <w:r w:rsidRPr="003564A5">
        <w:rPr>
          <w:i/>
          <w:iCs/>
        </w:rPr>
        <w:t>O. umbonatus</w:t>
      </w:r>
      <w:r>
        <w:t xml:space="preserve"> and apply the </w:t>
      </w:r>
      <w:r w:rsidRPr="003564A5">
        <w:rPr>
          <w:i/>
          <w:iCs/>
        </w:rPr>
        <w:t>O.</w:t>
      </w:r>
      <w:r>
        <w:rPr>
          <w:i/>
          <w:iCs/>
        </w:rPr>
        <w:t xml:space="preserve"> </w:t>
      </w:r>
      <w:r w:rsidRPr="003564A5">
        <w:rPr>
          <w:i/>
          <w:iCs/>
        </w:rPr>
        <w:t>umbonatus</w:t>
      </w:r>
      <w:r>
        <w:t xml:space="preserve">-specific calibration of </w:t>
      </w:r>
      <w:r>
        <w:fldChar w:fldCharType="begin"/>
      </w:r>
      <w:r>
        <w:instrText xml:space="preserve"> ADDIN ZOTERO_ITEM CSL_CITATION {"citationID":"bw5n1JZR","properties":{"formattedCitation":"(Lear et al., 2002)","plainCitation":"(Lear et al., 2002)","noteIndex":0},"citationItems":[{"id":1580,"uris":["http://zotero.org/users/6417926/items/XWEVD9YJ"],"itemData":{"id":1580,"type":"article-journal","abstract":"Core-top samples from different ocean basins have been analyzed to refine our current understanding of the sensitivity of benthic foraminiferal calcite magnesium/calcium (Mg/Ca) to bottom water temperatures (BWT). Benthic foraminifera collected from Hawaii, Little Bahama Bank, Sea of Okhotsk, Gulf of California, NE Atlantic, Ceara Rise, Sierra Leone Rise, the Ontong Java Plateau, and the Southern Ocean covering a temperature range of 0.8 to 18°C were used to revise the Cibicidoides Mg/Ca-temperature calibration. The Mg/Ca–BWT relationship of three common Cibicidoides species is described by an exponential equation: Mg/Ca = 0.867 ± 0.049 exp (0.109 ± 0.007 × BWT) (stated errors are 95% CI). The temperature sensitivity is very similar to a previously published calibration. However, the revised calibration has a significantly different preexponential constant, resulting in different predicted absolute temperatures. We attribute this difference in the preexponential constant to an analytical issue of accuracy. Some genera, notably Uvigerina, show apparently lower temperature sensitivity than others, suggesting that the use of constant offsets to account for vital effects in Mg/Ca may not be appropriate. Downcore Mg/Ca reproducibility, as determined on replicate foraminiferal samples, is typically better than 0.1 mmol mol−1 (2 S.E.). Thus, considering the errors associated with the Cibicidoides calibration and the downcore reproducibility, BWT may be estimated to within ±1°C. Application of the revised core-top Mg/Ca–BWT data to Cenozoic foraminiferal Mg/Ca suggests that seawater Mg/Ca was not more than 35% lower than today in the ice-free ocean at 50 Ma.","container-title":"Geochimica et Cosmochimica Acta","DOI":"10.1016/S0016-7037(02)00941-9","ISSN":"0016-7037","issue":"19","journalAbbreviation":"Geochimica et Cosmochimica Acta","language":"en","page":"3375-3387","source":"ScienceDirect","title":"Benthic foraminiferal Mg/Ca-paleothermometry: a revised core-top calibration","title-short":"Benthic foraminiferal Mg/Ca-paleothermometry","volume":"66","author":[{"family":"Lear","given":"Caroline H"},{"family":"Rosenthal","given":"Yair"},{"family":"Slowey","given":"Niall"}],"issued":{"date-parts":[["2002",10,1]]}}}],"schema":"https://github.com/citation-style-language/schema/raw/master/csl-citation.json"} </w:instrText>
      </w:r>
      <w:r>
        <w:fldChar w:fldCharType="separate"/>
      </w:r>
      <w:r w:rsidRPr="003564A5">
        <w:t xml:space="preserve">Lear et al. </w:t>
      </w:r>
      <w:r>
        <w:t>(</w:t>
      </w:r>
      <w:r w:rsidRPr="003564A5">
        <w:t>2002)</w:t>
      </w:r>
      <w:r>
        <w:fldChar w:fldCharType="end"/>
      </w:r>
      <w:r>
        <w:t xml:space="preserve"> — also used for our Site U1308 record — following </w:t>
      </w:r>
      <w:r>
        <w:fldChar w:fldCharType="begin"/>
      </w:r>
      <w:r>
        <w:instrText xml:space="preserve"> ADDIN ZOTERO_ITEM CSL_CITATION {"citationID":"U272Laye","properties":{"formattedCitation":"(Jakob et al., 2020)","plainCitation":"(Jakob et al., 2020)","noteIndex":0},"citationItems":[{"id":31,"uris":["http://zotero.org/users/6417926/items/ZBBJAB9D"],"itemData":{"id":31,"type":"article-journal","abstract":"Sea-level rise resulting from the instability of polar continental ice sheets represents a major socioeconomic hazard arising from anthropogenic warming, but the response of the largest component of Earth’s cryosphere, the East Antarctic Ice Sheet (EAIS), to global warming is poorly understood. Here we present a detailed record of North Atlantic deep-ocean temperature, global sea-level, and ice-volume change for </w:instrText>
      </w:r>
      <w:r>
        <w:rPr>
          <w:rFonts w:ascii="Cambria Math" w:hAnsi="Cambria Math" w:cs="Cambria Math"/>
        </w:rPr>
        <w:instrText>∼</w:instrText>
      </w:r>
      <w:r>
        <w:instrText>2.75 to 2.4 Ma ago, when atmospheric partial pressure of carbon dioxide (\n              p\n              CO\n              2\n              ) ranged from present-day (&gt;400 parts per million volume, ppmv) to preindustrial (&lt;280 ppmv) values. Our data reveal clear glacial–interglacial cycles in global ice volume and sea level largely driven by the growth and decay of ice sheets in the Northern Hemisphere. Yet, sea-level values during Marine Isotope Stage (MIS) 101 (</w:instrText>
      </w:r>
      <w:r>
        <w:rPr>
          <w:rFonts w:ascii="Cambria Math" w:hAnsi="Cambria Math" w:cs="Cambria Math"/>
        </w:rPr>
        <w:instrText>∼</w:instrText>
      </w:r>
      <w:r>
        <w:instrText>2.55 Ma) also signal substantial melting of the EAIS, and peak sea levels during MIS G7 (</w:instrText>
      </w:r>
      <w:r>
        <w:rPr>
          <w:rFonts w:ascii="Cambria Math" w:hAnsi="Cambria Math" w:cs="Cambria Math"/>
        </w:rPr>
        <w:instrText>∼</w:instrText>
      </w:r>
      <w:r>
        <w:instrText>2.75 Ma) and, perhaps, MIS G1 (</w:instrText>
      </w:r>
      <w:r>
        <w:rPr>
          <w:rFonts w:ascii="Cambria Math" w:hAnsi="Cambria Math" w:cs="Cambria Math"/>
        </w:rPr>
        <w:instrText>∼</w:instrText>
      </w:r>
      <w:r>
        <w:instrText xml:space="preserve">2.63 Ma) are also suggestive of EAIS instability. During the succeeding glacial–interglacial cycles (MIS 100 to 95), sea levels were distinctly lower than before, strongly suggesting a link between greater stability of the EAIS and increased land-ice volumes in the Northern Hemisphere. We propose that lower sea levels driven by ice-sheet growth in the Northern Hemisphere decreased EAIS susceptibility to ocean melting. Our findings have implications for future EAIS vulnerability to a rapidly warming world.","container-title":"Proceedings of the National Academy of Sciences","DOI":"10.1073/pnas.2004209117","ISSN":"0027-8424, 1091-6490","issue":"49","journalAbbreviation":"Proc Natl Acad Sci USA","language":"en","page":"30980-30987","source":"DOI.org (Crossref)","title":"A new sea-level record for the Neogene/Quaternary boundary reveals transition to a more stable East Antarctic Ice Sheet","volume":"117","author":[{"family":"Jakob","given":"Kim A."},{"family":"Wilson","given":"Paul A."},{"family":"Pross","given":"Jörg"},{"family":"Ezard","given":"Thomas H. G."},{"family":"Fiebig","given":"Jens"},{"family":"Repschläger","given":"Janne"},{"family":"Friedrich","given":"Oliver"}],"issued":{"date-parts":[["2020",12,8]]}}}],"schema":"https://github.com/citation-style-language/schema/raw/master/csl-citation.json"} </w:instrText>
      </w:r>
      <w:r>
        <w:fldChar w:fldCharType="separate"/>
      </w:r>
      <w:r w:rsidRPr="007F667A">
        <w:t xml:space="preserve">Jakob et al. </w:t>
      </w:r>
      <w:r>
        <w:t>(</w:t>
      </w:r>
      <w:r w:rsidRPr="007F667A">
        <w:t>2020)</w:t>
      </w:r>
      <w:r>
        <w:fldChar w:fldCharType="end"/>
      </w:r>
      <w:r>
        <w:t xml:space="preserve">. The adjusted temperature record of </w:t>
      </w:r>
      <w:r>
        <w:fldChar w:fldCharType="begin"/>
      </w:r>
      <w:r>
        <w:instrText xml:space="preserve"> ADDIN ZOTERO_ITEM CSL_CITATION {"citationID":"Fsrob3dv","properties":{"formattedCitation":"(Sosdian and Rosenthal, 2009)","plainCitation":"(Sosdian and Rosenthal, 2009)","noteIndex":0},"citationItems":[{"id":99,"uris":["http://zotero.org/users/6417926/items/H48RRSRQ"],"itemData":{"id":99,"type":"article-journal","abstract":"Increases in glacial ice volume and ice-sheet dynamics are implicated in two distinct climate cooling events.\nIncreases in glacial ice volume and ice-sheet dynamics are implicated in two distinct climate cooling events.","container-title":"Science","DOI":"10.1126/science.1169938","ISSN":"0036-8075, 1095-9203","issue":"5938","language":"en","license":"Copyright © 2009, American Association for the Advancement of Science","note":"publisher: American Association for the Advancement of Science\nsection: Report\nPMID: 19608915","page":"306-310","source":"science.sciencemag.org","title":"Deep-Sea Temperature and Ice Volume Changes Across the Pliocene-Pleistocene Climate Transitions","volume":"325","author":[{"family":"Sosdian","given":"Sindia"},{"family":"Rosenthal","given":"Yair"}],"issued":{"date-parts":[["2009",7,17]]}}}],"schema":"https://github.com/citation-style-language/schema/raw/master/csl-citation.json"} </w:instrText>
      </w:r>
      <w:r>
        <w:fldChar w:fldCharType="separate"/>
      </w:r>
      <w:proofErr w:type="spellStart"/>
      <w:r w:rsidRPr="007F667A">
        <w:t>Sosdian</w:t>
      </w:r>
      <w:proofErr w:type="spellEnd"/>
      <w:r w:rsidRPr="007F667A">
        <w:t xml:space="preserve"> and Rosenthal</w:t>
      </w:r>
      <w:r>
        <w:t xml:space="preserve"> (</w:t>
      </w:r>
      <w:r w:rsidRPr="007F667A">
        <w:t>2009)</w:t>
      </w:r>
      <w:r>
        <w:fldChar w:fldCharType="end"/>
      </w:r>
      <w:r>
        <w:t xml:space="preserve"> and </w:t>
      </w:r>
      <w:r>
        <w:fldChar w:fldCharType="begin"/>
      </w:r>
      <w:r>
        <w:instrText xml:space="preserve"> ADDIN ZOTERO_ITEM CSL_CITATION {"citationID":"0y9fz48S","properties":{"formattedCitation":"(Woodard et al., 2014)","plainCitation":"(Woodard et al., 2014)","noteIndex":0},"citationItems":[{"id":21,"uris":["http://zotero.org/users/6417926/items/9FQIV4U4"],"itemData":{"id":21,"type":"article-journal","container-title":"Science","DOI":"https://doi.org/10.1126/science.1255586","issue":"6211","language":"en","page":"847-851","source":"Zotero","title":"Antarctic role in Northern Hemisphere glaciation","volume":"346","author":[{"family":"Woodard","given":"Stella C"},{"family":"Rosenthal","given":"Yair"},{"family":"Miller","given":"Kenneth G"},{"family":"Wright","given":"James D"},{"family":"Chiu","given":"Beverly K"},{"family":"Lawrence","given":"Kira T"}],"issued":{"date-parts":[["2014"]]}}}],"schema":"https://github.com/citation-style-language/schema/raw/master/csl-citation.json"} </w:instrText>
      </w:r>
      <w:r>
        <w:fldChar w:fldCharType="separate"/>
      </w:r>
      <w:r w:rsidRPr="007F667A">
        <w:t>Woodard et al</w:t>
      </w:r>
      <w:r>
        <w:t>.</w:t>
      </w:r>
      <w:r w:rsidRPr="007F667A">
        <w:t xml:space="preserve"> </w:t>
      </w:r>
      <w:r>
        <w:t>(</w:t>
      </w:r>
      <w:r w:rsidRPr="007F667A">
        <w:t>2014)</w:t>
      </w:r>
      <w:r>
        <w:fldChar w:fldCharType="end"/>
      </w:r>
      <w:r>
        <w:t xml:space="preserve"> are presented in Fig. S6. We find that the recalculated North Atlantic record of </w:t>
      </w:r>
      <w:proofErr w:type="spellStart"/>
      <w:r>
        <w:t>Sosdian</w:t>
      </w:r>
      <w:proofErr w:type="spellEnd"/>
      <w:r>
        <w:t xml:space="preserve"> and Rosenthal (2009) is in very good agreement with our Site U1308 data, with both records indicating average temperatures of 7-8°C. </w:t>
      </w:r>
    </w:p>
    <w:p w14:paraId="205F9C1A" w14:textId="77777777" w:rsidR="00DB293A" w:rsidRPr="00FB041A" w:rsidRDefault="00DB293A" w:rsidP="00DB293A">
      <w:r>
        <w:t>The adjusted North Pacific record of Woodard et al. (2014) is in better agreement with our Site 849 temperatures than the original record, but still suggests colder-than-present average temperatures. While applying a different calibration to these data could bring the absolute temperatures of this record more in line with our Site 849 data, we also note that temperatures at these two sites occasionally appear to record opposite trends (e.g. during KM5 and KM6), supporting a difference in the evolution on BWT and sourcing of deep water masses at these sites.</w:t>
      </w:r>
    </w:p>
    <w:p w14:paraId="57A50034" w14:textId="77777777" w:rsidR="00DB293A" w:rsidRDefault="00DB293A" w:rsidP="00A67372"/>
    <w:p w14:paraId="1A9732BB" w14:textId="77777777" w:rsidR="00B27649" w:rsidRDefault="00B27649" w:rsidP="00B27649">
      <w:r>
        <w:rPr>
          <w:noProof/>
        </w:rPr>
        <w:lastRenderedPageBreak/>
        <w:drawing>
          <wp:inline distT="0" distB="0" distL="0" distR="0" wp14:anchorId="52F28555" wp14:editId="3CF1F7C1">
            <wp:extent cx="6601680" cy="4955760"/>
            <wp:effectExtent l="0" t="0" r="8890" b="0"/>
            <wp:docPr id="3" name="Picture 3" descr="A picture containing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indoor&#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601680" cy="4955760"/>
                    </a:xfrm>
                    <a:prstGeom prst="rect">
                      <a:avLst/>
                    </a:prstGeom>
                    <a:noFill/>
                    <a:ln>
                      <a:noFill/>
                    </a:ln>
                  </pic:spPr>
                </pic:pic>
              </a:graphicData>
            </a:graphic>
          </wp:inline>
        </w:drawing>
      </w:r>
    </w:p>
    <w:p w14:paraId="3581E31C" w14:textId="77777777" w:rsidR="00B27649" w:rsidRDefault="00B27649" w:rsidP="00B27649">
      <w:pPr>
        <w:pStyle w:val="Caption"/>
      </w:pPr>
      <w:bookmarkStart w:id="1" w:name="_Hlk129355242"/>
      <w:r>
        <w:t xml:space="preserve">Fig. S1 Scanning Electron Microscope images of benthic foraminifera from Site 849. (a) </w:t>
      </w:r>
      <w:proofErr w:type="spellStart"/>
      <w:r w:rsidRPr="00E36904">
        <w:rPr>
          <w:i/>
          <w:iCs/>
        </w:rPr>
        <w:t>Uvigerina</w:t>
      </w:r>
      <w:proofErr w:type="spellEnd"/>
      <w:r>
        <w:t xml:space="preserve"> spp. from sample </w:t>
      </w:r>
      <w:r w:rsidRPr="0036270B">
        <w:t>9H-1,140-142</w:t>
      </w:r>
      <w:r>
        <w:t xml:space="preserve"> cm (b) Inside view of </w:t>
      </w:r>
      <w:proofErr w:type="spellStart"/>
      <w:r w:rsidRPr="00E36904">
        <w:rPr>
          <w:i/>
          <w:iCs/>
        </w:rPr>
        <w:t>Uvigerina</w:t>
      </w:r>
      <w:proofErr w:type="spellEnd"/>
      <w:r>
        <w:t xml:space="preserve"> spp. fragment from sample </w:t>
      </w:r>
      <w:r w:rsidRPr="0036270B">
        <w:t>9H-1,140-142</w:t>
      </w:r>
      <w:r>
        <w:t xml:space="preserve"> cm (c) </w:t>
      </w:r>
      <w:r w:rsidRPr="00E36904">
        <w:rPr>
          <w:i/>
          <w:iCs/>
        </w:rPr>
        <w:t>Cib</w:t>
      </w:r>
      <w:r>
        <w:rPr>
          <w:i/>
          <w:iCs/>
        </w:rPr>
        <w:t>icidoides</w:t>
      </w:r>
      <w:r>
        <w:t xml:space="preserve"> spp. from sample </w:t>
      </w:r>
      <w:r w:rsidRPr="0036270B">
        <w:t>8H-5,112-114</w:t>
      </w:r>
      <w:r>
        <w:t xml:space="preserve"> cm (d) Inside view of </w:t>
      </w:r>
      <w:r w:rsidRPr="00E36904">
        <w:rPr>
          <w:i/>
          <w:iCs/>
        </w:rPr>
        <w:t>Cib</w:t>
      </w:r>
      <w:r>
        <w:rPr>
          <w:i/>
          <w:iCs/>
        </w:rPr>
        <w:t>icidoides</w:t>
      </w:r>
      <w:r>
        <w:t xml:space="preserve"> spp. fragment from sample </w:t>
      </w:r>
      <w:r w:rsidRPr="0036270B">
        <w:t>8H-5,112-114</w:t>
      </w:r>
      <w:r>
        <w:t xml:space="preserve"> cm. Tests are well preserved — note the preservation of delicate pore channels and layered wall structure in close-up views (arrows).</w:t>
      </w:r>
    </w:p>
    <w:bookmarkEnd w:id="1"/>
    <w:p w14:paraId="3720FEB0" w14:textId="77777777" w:rsidR="00B27649" w:rsidRDefault="00B27649" w:rsidP="00B27649">
      <w:r>
        <w:rPr>
          <w:noProof/>
        </w:rPr>
        <w:lastRenderedPageBreak/>
        <w:drawing>
          <wp:inline distT="0" distB="0" distL="0" distR="0" wp14:anchorId="6F651CF3" wp14:editId="151479B6">
            <wp:extent cx="6601320" cy="4946040"/>
            <wp:effectExtent l="0" t="0" r="9525" b="6985"/>
            <wp:docPr id="4" name="Picture 4" descr="A collage of images of a variety of objec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collage of images of a variety of objects&#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601320" cy="4946040"/>
                    </a:xfrm>
                    <a:prstGeom prst="rect">
                      <a:avLst/>
                    </a:prstGeom>
                    <a:noFill/>
                    <a:ln>
                      <a:noFill/>
                    </a:ln>
                  </pic:spPr>
                </pic:pic>
              </a:graphicData>
            </a:graphic>
          </wp:inline>
        </w:drawing>
      </w:r>
    </w:p>
    <w:p w14:paraId="07D7730B" w14:textId="77777777" w:rsidR="00B27649" w:rsidRDefault="00B27649" w:rsidP="00B27649">
      <w:pPr>
        <w:pStyle w:val="Caption"/>
      </w:pPr>
      <w:r>
        <w:t xml:space="preserve">Fig. S2 Scanning Electron Microscope images of benthic foraminifera from Site U1308. (a) </w:t>
      </w:r>
      <w:proofErr w:type="spellStart"/>
      <w:r w:rsidRPr="00EC5E96">
        <w:rPr>
          <w:i/>
          <w:iCs/>
        </w:rPr>
        <w:t>Uvigerina</w:t>
      </w:r>
      <w:proofErr w:type="spellEnd"/>
      <w:r w:rsidRPr="00EC5E96">
        <w:rPr>
          <w:i/>
          <w:iCs/>
        </w:rPr>
        <w:t xml:space="preserve"> </w:t>
      </w:r>
      <w:r w:rsidRPr="00E36904">
        <w:t>spp</w:t>
      </w:r>
      <w:r>
        <w:t xml:space="preserve">. from sample </w:t>
      </w:r>
      <w:r w:rsidRPr="00425004">
        <w:t xml:space="preserve">26H-4,101-103 </w:t>
      </w:r>
      <w:r>
        <w:t xml:space="preserve">cm (b) Inside view of </w:t>
      </w:r>
      <w:proofErr w:type="spellStart"/>
      <w:r w:rsidRPr="00EC5E96">
        <w:rPr>
          <w:i/>
          <w:iCs/>
        </w:rPr>
        <w:t>Uvigerina</w:t>
      </w:r>
      <w:proofErr w:type="spellEnd"/>
      <w:r w:rsidRPr="00EC5E96">
        <w:rPr>
          <w:i/>
          <w:iCs/>
        </w:rPr>
        <w:t xml:space="preserve"> </w:t>
      </w:r>
      <w:r w:rsidRPr="00E36904">
        <w:t>spp</w:t>
      </w:r>
      <w:r>
        <w:t xml:space="preserve">. fragment from sample </w:t>
      </w:r>
      <w:r w:rsidRPr="00425004">
        <w:t xml:space="preserve">26H-4,101-103 </w:t>
      </w:r>
      <w:r>
        <w:t xml:space="preserve">cm (c) </w:t>
      </w:r>
      <w:proofErr w:type="spellStart"/>
      <w:r w:rsidRPr="00EC5E96">
        <w:rPr>
          <w:i/>
          <w:iCs/>
        </w:rPr>
        <w:t>Globocassidulina</w:t>
      </w:r>
      <w:proofErr w:type="spellEnd"/>
      <w:r w:rsidRPr="00EC5E96">
        <w:rPr>
          <w:i/>
          <w:iCs/>
        </w:rPr>
        <w:t xml:space="preserve"> </w:t>
      </w:r>
      <w:r w:rsidRPr="00E36904">
        <w:t>spp</w:t>
      </w:r>
      <w:r>
        <w:t xml:space="preserve">. from sample </w:t>
      </w:r>
      <w:r w:rsidRPr="00A82CDF">
        <w:t>25H-5,130-132</w:t>
      </w:r>
      <w:r>
        <w:t xml:space="preserve"> cm (d) Inside view of </w:t>
      </w:r>
      <w:proofErr w:type="spellStart"/>
      <w:r w:rsidRPr="00EC5E96">
        <w:rPr>
          <w:i/>
          <w:iCs/>
        </w:rPr>
        <w:t>Globocassidulina</w:t>
      </w:r>
      <w:proofErr w:type="spellEnd"/>
      <w:r w:rsidRPr="00EC5E96">
        <w:rPr>
          <w:i/>
          <w:iCs/>
        </w:rPr>
        <w:t xml:space="preserve"> </w:t>
      </w:r>
      <w:r w:rsidRPr="00E36904">
        <w:t>spp</w:t>
      </w:r>
      <w:r>
        <w:t xml:space="preserve">. fragment from sample </w:t>
      </w:r>
      <w:r w:rsidRPr="00A82CDF">
        <w:t>25H-5,130-132</w:t>
      </w:r>
      <w:r>
        <w:t xml:space="preserve"> cm. Tests are well preserved — note the preservation of delicate pore channels in close-up views (arrows).</w:t>
      </w:r>
    </w:p>
    <w:p w14:paraId="0E6406E3" w14:textId="77777777" w:rsidR="00B27649" w:rsidRPr="00883B36" w:rsidRDefault="00B27649" w:rsidP="00A67372"/>
    <w:p w14:paraId="67648667" w14:textId="77777777" w:rsidR="00883B36" w:rsidRDefault="00883B36" w:rsidP="00A67372">
      <w:pPr>
        <w:rPr>
          <w:lang w:val="en-US"/>
        </w:rPr>
      </w:pPr>
    </w:p>
    <w:p w14:paraId="19E5DA27" w14:textId="77777777" w:rsidR="00883B36" w:rsidRDefault="00883B36" w:rsidP="00883B36">
      <w:pPr>
        <w:pStyle w:val="Caption"/>
      </w:pPr>
      <w:r>
        <w:rPr>
          <w:noProof/>
          <w:lang w:val="en-US"/>
        </w:rPr>
        <w:lastRenderedPageBreak/>
        <w:drawing>
          <wp:inline distT="0" distB="0" distL="0" distR="0" wp14:anchorId="62D9677A" wp14:editId="2F159140">
            <wp:extent cx="5251010" cy="5508002"/>
            <wp:effectExtent l="0" t="0" r="6985" b="0"/>
            <wp:docPr id="8" name="Picture 8"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hart, scatter char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323274" cy="5583802"/>
                    </a:xfrm>
                    <a:prstGeom prst="rect">
                      <a:avLst/>
                    </a:prstGeom>
                  </pic:spPr>
                </pic:pic>
              </a:graphicData>
            </a:graphic>
          </wp:inline>
        </w:drawing>
      </w:r>
    </w:p>
    <w:p w14:paraId="21EED7CC" w14:textId="78B7F4C9" w:rsidR="00883B36" w:rsidRDefault="00883B36" w:rsidP="00883B36">
      <w:pPr>
        <w:pStyle w:val="Caption"/>
      </w:pPr>
      <w:bookmarkStart w:id="2" w:name="_Hlk129429397"/>
      <w:r>
        <w:t>Fig. S</w:t>
      </w:r>
      <w:r w:rsidR="00E15280">
        <w:t>3</w:t>
      </w:r>
      <w:r>
        <w:t xml:space="preserve"> Foraminiferal </w:t>
      </w:r>
      <w:r w:rsidRPr="00FA3828">
        <w:t>δ</w:t>
      </w:r>
      <w:r w:rsidRPr="008B31C3">
        <w:rPr>
          <w:vertAlign w:val="superscript"/>
        </w:rPr>
        <w:t>18</w:t>
      </w:r>
      <w:r w:rsidRPr="00FA3828">
        <w:t>O</w:t>
      </w:r>
      <w:r w:rsidRPr="00FA3828">
        <w:rPr>
          <w:vertAlign w:val="subscript"/>
        </w:rPr>
        <w:t>b</w:t>
      </w:r>
      <w:r>
        <w:t xml:space="preserve"> data from North Atlantic Site U1308 alongside the global benthic oxygen isotope stack of Lisiecki and Raymo (2005). </w:t>
      </w:r>
      <w:r w:rsidRPr="00550E14">
        <w:rPr>
          <w:lang w:val="en-US"/>
        </w:rPr>
        <w:t xml:space="preserve">Orange line: De Schepper et al. (2013) </w:t>
      </w:r>
      <w:r w:rsidRPr="00451643">
        <w:rPr>
          <w:i/>
          <w:iCs/>
        </w:rPr>
        <w:t>Cibicidoides wuellerstorfi</w:t>
      </w:r>
      <w:r>
        <w:t xml:space="preserve"> and </w:t>
      </w:r>
      <w:proofErr w:type="spellStart"/>
      <w:r w:rsidRPr="00451643">
        <w:rPr>
          <w:i/>
          <w:iCs/>
        </w:rPr>
        <w:t>Uvigerina</w:t>
      </w:r>
      <w:proofErr w:type="spellEnd"/>
      <w:r w:rsidRPr="00451643">
        <w:rPr>
          <w:i/>
          <w:iCs/>
        </w:rPr>
        <w:t xml:space="preserve"> peregrina</w:t>
      </w:r>
      <w:r>
        <w:t xml:space="preserve"> data. Red line: This study (</w:t>
      </w:r>
      <w:r w:rsidRPr="00CF24FC">
        <w:rPr>
          <w:i/>
          <w:iCs/>
          <w:lang w:val="en-US"/>
        </w:rPr>
        <w:t>C. wuellerstorfi</w:t>
      </w:r>
      <w:r w:rsidRPr="00CF24FC">
        <w:rPr>
          <w:lang w:val="en-US"/>
        </w:rPr>
        <w:t xml:space="preserve"> and </w:t>
      </w:r>
      <w:r w:rsidRPr="00CF24FC">
        <w:rPr>
          <w:i/>
          <w:iCs/>
          <w:lang w:val="en-US"/>
        </w:rPr>
        <w:t>C</w:t>
      </w:r>
      <w:r>
        <w:rPr>
          <w:i/>
          <w:iCs/>
          <w:lang w:val="en-US"/>
        </w:rPr>
        <w:t>ibicidoides</w:t>
      </w:r>
      <w:r w:rsidRPr="00CF24FC">
        <w:rPr>
          <w:i/>
          <w:iCs/>
          <w:lang w:val="en-US"/>
        </w:rPr>
        <w:t xml:space="preserve"> mundulus</w:t>
      </w:r>
      <w:r>
        <w:rPr>
          <w:i/>
          <w:iCs/>
          <w:lang w:val="en-US"/>
        </w:rPr>
        <w:t xml:space="preserve">) </w:t>
      </w:r>
      <w:r>
        <w:rPr>
          <w:lang w:val="en-US"/>
        </w:rPr>
        <w:t>and adjusted (+0.29</w:t>
      </w:r>
      <w:r w:rsidRPr="004B5BFC">
        <w:rPr>
          <w:lang w:val="en-US"/>
        </w:rPr>
        <w:t>‰</w:t>
      </w:r>
      <w:r>
        <w:rPr>
          <w:lang w:val="en-US"/>
        </w:rPr>
        <w:t>) data of De Schepper et al. (2013).</w:t>
      </w:r>
      <w:r>
        <w:t xml:space="preserve"> Red circles: This study </w:t>
      </w:r>
      <w:r w:rsidRPr="00FA3828">
        <w:t>from individual Δ</w:t>
      </w:r>
      <w:r w:rsidRPr="00FA3828">
        <w:rPr>
          <w:vertAlign w:val="subscript"/>
        </w:rPr>
        <w:t>47</w:t>
      </w:r>
      <w:r w:rsidRPr="00FA3828">
        <w:t xml:space="preserve"> measurements of </w:t>
      </w:r>
      <w:proofErr w:type="spellStart"/>
      <w:r w:rsidRPr="00550E14">
        <w:rPr>
          <w:i/>
          <w:iCs/>
        </w:rPr>
        <w:t>Uvigerina</w:t>
      </w:r>
      <w:proofErr w:type="spellEnd"/>
      <w:r w:rsidRPr="00550E14">
        <w:rPr>
          <w:i/>
          <w:iCs/>
        </w:rPr>
        <w:t xml:space="preserve"> spp</w:t>
      </w:r>
      <w:r w:rsidRPr="00FA3828">
        <w:t xml:space="preserve">. and </w:t>
      </w:r>
      <w:r w:rsidRPr="00550E14">
        <w:rPr>
          <w:i/>
          <w:iCs/>
        </w:rPr>
        <w:t>Cibicidoides spp</w:t>
      </w:r>
      <w:r w:rsidRPr="00FA3828">
        <w:t xml:space="preserve">. </w:t>
      </w:r>
      <w:r>
        <w:t xml:space="preserve">All </w:t>
      </w:r>
      <w:r w:rsidRPr="00550E14">
        <w:rPr>
          <w:i/>
          <w:iCs/>
        </w:rPr>
        <w:t>C. mundulus</w:t>
      </w:r>
      <w:r>
        <w:t xml:space="preserve">, </w:t>
      </w:r>
      <w:r w:rsidRPr="00550E14">
        <w:rPr>
          <w:i/>
          <w:iCs/>
        </w:rPr>
        <w:t>C. wuellerstorfi</w:t>
      </w:r>
      <w:r>
        <w:t xml:space="preserve"> and </w:t>
      </w:r>
      <w:r>
        <w:rPr>
          <w:i/>
          <w:iCs/>
        </w:rPr>
        <w:t xml:space="preserve">Cibicidoides spp. </w:t>
      </w:r>
      <w:r>
        <w:t>data normalized to equilibrium (+0.64</w:t>
      </w:r>
      <w:r w:rsidRPr="004B5BFC">
        <w:rPr>
          <w:lang w:val="en-US"/>
        </w:rPr>
        <w:t>‰</w:t>
      </w:r>
      <w:r w:rsidRPr="00FA3828">
        <w:t>)</w:t>
      </w:r>
      <w:r>
        <w:t xml:space="preserve"> following </w:t>
      </w:r>
      <w:r>
        <w:fldChar w:fldCharType="begin"/>
      </w:r>
      <w:r>
        <w:instrText xml:space="preserve"> ADDIN ZOTERO_ITEM CSL_CITATION {"citationID":"OoMSNeUV","properties":{"formattedCitation":"(Shackleton et al., 1984)","plainCitation":"(Shackleton et al., 1984)","noteIndex":0},"citationItems":[{"id":2001,"uris":["http://zotero.org/users/6417926/items/FAXWMAH6"],"itemData":{"id":2001,"type":"chapter","abstract":"Oxygen and carbon isotope measurements have been made in picked planktonic and benthonic foraminifers from the five sites drilled on Leg 74, covering the whole Cenozoic. For the Neogene, the coverage gives good information on the development of the vertical temperature structure of Atlantic deep water. For the Paleogene, vertical gradients were weak and it is possible to combine data from different sites to obtain a very detailed record of both the temperature and carbon isotope history of Atlantic deep waters.","collection-title":"Initial Reports of the Deep Sea Drilling Project","container-title":"Initial Reports of the Deep Sea Drilling Project","language":"en","note":"DOI: 10.2973/dsdp.proc.74.1984","page":"599-612","publisher":"U.S. Government Printing Office","source":"DOI.org (Crossref)","title":"Oxygen and carbon isotope data from Leg 74 foraminifers","URL":"http://deepseadrilling.org/74/dsdp_toc.htm","volume":"74","author":[{"family":"Shackleton","given":"N.J"},{"family":"Hall","given":"M.A."},{"family":"Boersma","given":"A."}],"editor":[{"family":"Moore","given":""},{"family":"Rabinowitz","given":"P.D."},{"family":"Borelly","given":"P."},{"family":"Boersma","given":"A."},{"family":"Shackleton","given":"N.J."}],"accessed":{"date-parts":[["2022",12,4]]},"issued":{"date-parts":[["1984"]]}}}],"schema":"https://github.com/citation-style-language/schema/raw/master/csl-citation.json"} </w:instrText>
      </w:r>
      <w:r>
        <w:fldChar w:fldCharType="separate"/>
      </w:r>
      <w:r w:rsidRPr="00550E14">
        <w:t xml:space="preserve">Shackleton et al. </w:t>
      </w:r>
      <w:r>
        <w:t>(</w:t>
      </w:r>
      <w:r w:rsidRPr="00550E14">
        <w:t>1984)</w:t>
      </w:r>
      <w:r>
        <w:fldChar w:fldCharType="end"/>
      </w:r>
      <w:r>
        <w:t>.</w:t>
      </w:r>
    </w:p>
    <w:p w14:paraId="671EFBAD" w14:textId="77777777" w:rsidR="00883B36" w:rsidRPr="00883B36" w:rsidRDefault="00883B36" w:rsidP="00883B36"/>
    <w:bookmarkEnd w:id="2"/>
    <w:p w14:paraId="67650B5E" w14:textId="77777777" w:rsidR="00883B36" w:rsidRPr="009D21B9" w:rsidRDefault="00883B36" w:rsidP="00883B36">
      <w:r>
        <w:rPr>
          <w:noProof/>
        </w:rPr>
        <w:lastRenderedPageBreak/>
        <w:drawing>
          <wp:inline distT="0" distB="0" distL="0" distR="0" wp14:anchorId="5498DDC7" wp14:editId="07810206">
            <wp:extent cx="6372225" cy="2419985"/>
            <wp:effectExtent l="0" t="0" r="9525" b="0"/>
            <wp:docPr id="10" name="Picture 10"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 scatter chart&#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372225" cy="2419985"/>
                    </a:xfrm>
                    <a:prstGeom prst="rect">
                      <a:avLst/>
                    </a:prstGeom>
                  </pic:spPr>
                </pic:pic>
              </a:graphicData>
            </a:graphic>
          </wp:inline>
        </w:drawing>
      </w:r>
    </w:p>
    <w:p w14:paraId="2A71F97B" w14:textId="5797B70A" w:rsidR="00883B36" w:rsidRDefault="00883B36" w:rsidP="00883B36">
      <w:pPr>
        <w:pStyle w:val="Caption"/>
      </w:pPr>
      <w:r w:rsidRPr="001A592A">
        <w:t xml:space="preserve"> </w:t>
      </w:r>
      <w:r>
        <w:t>Fig. S</w:t>
      </w:r>
      <w:r w:rsidR="00B27649">
        <w:t>4</w:t>
      </w:r>
      <w:r>
        <w:t xml:space="preserve"> Cross plot between Site 849 </w:t>
      </w:r>
      <w:proofErr w:type="spellStart"/>
      <w:r w:rsidRPr="00793D66">
        <w:rPr>
          <w:i/>
          <w:iCs/>
        </w:rPr>
        <w:t>O.umbonatus</w:t>
      </w:r>
      <w:proofErr w:type="spellEnd"/>
      <w:r>
        <w:t xml:space="preserve"> Mg/Ca and Mn/Ca ratios (left) and Mg/Ca and Fe/Ca ratios (right) </w:t>
      </w:r>
    </w:p>
    <w:p w14:paraId="717C9F79" w14:textId="77777777" w:rsidR="00883B36" w:rsidRPr="009D21B9" w:rsidRDefault="00883B36" w:rsidP="00883B36"/>
    <w:p w14:paraId="54FEE336" w14:textId="77777777" w:rsidR="00883B36" w:rsidRDefault="00883B36" w:rsidP="00883B36">
      <w:pPr>
        <w:pStyle w:val="Caption"/>
      </w:pPr>
      <w:r w:rsidRPr="001A592A">
        <w:t xml:space="preserve"> </w:t>
      </w:r>
      <w:r>
        <w:rPr>
          <w:noProof/>
        </w:rPr>
        <w:drawing>
          <wp:inline distT="0" distB="0" distL="0" distR="0" wp14:anchorId="7B3754C7" wp14:editId="14BC43C4">
            <wp:extent cx="6372225" cy="2572385"/>
            <wp:effectExtent l="0" t="0" r="9525" b="0"/>
            <wp:docPr id="11" name="Picture 11"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 scatter char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372225" cy="2572385"/>
                    </a:xfrm>
                    <a:prstGeom prst="rect">
                      <a:avLst/>
                    </a:prstGeom>
                  </pic:spPr>
                </pic:pic>
              </a:graphicData>
            </a:graphic>
          </wp:inline>
        </w:drawing>
      </w:r>
    </w:p>
    <w:p w14:paraId="515F6B01" w14:textId="7879BA71" w:rsidR="00883B36" w:rsidRDefault="00883B36" w:rsidP="00883B36">
      <w:pPr>
        <w:pStyle w:val="Caption"/>
      </w:pPr>
      <w:r>
        <w:t>Fig. S</w:t>
      </w:r>
      <w:r w:rsidR="00B27649">
        <w:t>5</w:t>
      </w:r>
      <w:r w:rsidRPr="008D690C">
        <w:t xml:space="preserve"> </w:t>
      </w:r>
      <w:r>
        <w:t xml:space="preserve">Cross plot between Site U1308 </w:t>
      </w:r>
      <w:proofErr w:type="spellStart"/>
      <w:r w:rsidRPr="00793D66">
        <w:rPr>
          <w:i/>
          <w:iCs/>
        </w:rPr>
        <w:t>O.umbonatus</w:t>
      </w:r>
      <w:proofErr w:type="spellEnd"/>
      <w:r>
        <w:t xml:space="preserve"> Mg/Ca and Mn/Ca ratios (left) and Mg/Ca and Fe/Ca ratios (right)</w:t>
      </w:r>
    </w:p>
    <w:p w14:paraId="070636BA" w14:textId="77777777" w:rsidR="00883B36" w:rsidRPr="00883B36" w:rsidRDefault="00883B36" w:rsidP="00A67372"/>
    <w:p w14:paraId="1BBF401D" w14:textId="77777777" w:rsidR="00883B36" w:rsidRDefault="00883B36" w:rsidP="00883B36"/>
    <w:p w14:paraId="092A7BBC" w14:textId="77777777" w:rsidR="006641C9" w:rsidRDefault="006641C9" w:rsidP="006641C9"/>
    <w:p w14:paraId="6501DD6E" w14:textId="77777777" w:rsidR="006641C9" w:rsidRDefault="006641C9" w:rsidP="006641C9"/>
    <w:p w14:paraId="1A9463C7" w14:textId="77777777" w:rsidR="006641C9" w:rsidRDefault="006641C9" w:rsidP="00A67372">
      <w:pPr>
        <w:rPr>
          <w:lang w:val="en-US"/>
        </w:rPr>
      </w:pPr>
    </w:p>
    <w:p w14:paraId="7E658FDF" w14:textId="2C4461D3" w:rsidR="00A67372" w:rsidRPr="005523B7" w:rsidRDefault="00A67372" w:rsidP="00C47DE0">
      <w:pPr>
        <w:pStyle w:val="Heading1"/>
      </w:pPr>
    </w:p>
    <w:p w14:paraId="26DA6616" w14:textId="4D7C4D27" w:rsidR="002E2F93" w:rsidRDefault="00613A85" w:rsidP="009D21B9">
      <w:r>
        <w:rPr>
          <w:noProof/>
        </w:rPr>
        <w:drawing>
          <wp:inline distT="0" distB="0" distL="0" distR="0" wp14:anchorId="34A8A6BD" wp14:editId="27FB609C">
            <wp:extent cx="5471058" cy="6159641"/>
            <wp:effectExtent l="0" t="0" r="0" b="0"/>
            <wp:docPr id="6" name="Picture 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90109" cy="6181090"/>
                    </a:xfrm>
                    <a:prstGeom prst="rect">
                      <a:avLst/>
                    </a:prstGeom>
                  </pic:spPr>
                </pic:pic>
              </a:graphicData>
            </a:graphic>
          </wp:inline>
        </w:drawing>
      </w:r>
    </w:p>
    <w:p w14:paraId="0E2A5569" w14:textId="139D0642" w:rsidR="001A592A" w:rsidRPr="001A592A" w:rsidRDefault="001A592A" w:rsidP="001A592A"/>
    <w:bookmarkEnd w:id="0"/>
    <w:p w14:paraId="44A5EF82" w14:textId="7F7193E0" w:rsidR="00BD2052" w:rsidRDefault="00BD2052" w:rsidP="00BD2052">
      <w:pPr>
        <w:pStyle w:val="Caption"/>
      </w:pPr>
      <w:r>
        <w:t>Fig. S6 a)</w:t>
      </w:r>
      <w:r w:rsidR="00F51E6E" w:rsidRPr="00F51E6E">
        <w:t xml:space="preserve"> </w:t>
      </w:r>
      <w:r w:rsidR="00E36904">
        <w:t>Benthic f</w:t>
      </w:r>
      <w:r w:rsidR="009F2AF3">
        <w:t>oraminiferal</w:t>
      </w:r>
      <w:r w:rsidR="00E36904">
        <w:t xml:space="preserve"> </w:t>
      </w:r>
      <w:r w:rsidR="00E36904" w:rsidRPr="00FA3828">
        <w:t>δ</w:t>
      </w:r>
      <w:r w:rsidR="00E36904" w:rsidRPr="00E36904">
        <w:rPr>
          <w:vertAlign w:val="superscript"/>
        </w:rPr>
        <w:t>18</w:t>
      </w:r>
      <w:r w:rsidR="00E36904" w:rsidRPr="00FA3828">
        <w:t>O</w:t>
      </w:r>
      <w:r w:rsidR="009F2AF3">
        <w:t xml:space="preserve"> </w:t>
      </w:r>
      <w:r w:rsidR="00E36904">
        <w:t>(</w:t>
      </w:r>
      <w:r w:rsidR="00F51E6E" w:rsidRPr="00FA3828">
        <w:t>δ</w:t>
      </w:r>
      <w:r w:rsidR="00F51E6E" w:rsidRPr="00E36904">
        <w:rPr>
          <w:vertAlign w:val="superscript"/>
        </w:rPr>
        <w:t>18</w:t>
      </w:r>
      <w:r w:rsidR="00F51E6E" w:rsidRPr="00FA3828">
        <w:t>O</w:t>
      </w:r>
      <w:r w:rsidR="00F51E6E" w:rsidRPr="00FA3828">
        <w:rPr>
          <w:vertAlign w:val="subscript"/>
        </w:rPr>
        <w:t>b</w:t>
      </w:r>
      <w:r w:rsidR="00E36904">
        <w:t>)</w:t>
      </w:r>
      <w:r w:rsidR="00F51E6E">
        <w:t xml:space="preserve"> from Site 849 (light blue, 5 pt. running mean, </w:t>
      </w:r>
      <w:r w:rsidR="00F51E6E">
        <w:fldChar w:fldCharType="begin"/>
      </w:r>
      <w:r w:rsidR="00536866">
        <w:instrText xml:space="preserve"> ADDIN ZOTERO_ITEM CSL_CITATION {"citationID":"XIXzcrsS","properties":{"formattedCitation":"(Jakob et al., 2021)","plainCitation":"(Jakob et al., 2021)","dontUpdate":true,"noteIndex":0},"citationItems":[{"id":533,"uris":["http://zotero.org/users/6417926/items/9EZW6V2I"],"itemData":{"id":533,"type":"article-journal","abstract":"Upwelling within the Eastern Equatorial Pacific (EEP) Ocean is a key factor for the Earth's climate because it supports &gt;10% of the present-day biological production. The dynamics of upwelling in the EEP across the Plio-Pleistocene transition—an interval particularly relevant for understanding near-future warming due to Anthropocene-like atmospheric carbon-dioxide levels—have been intensively studied for the region east of the East Pacific Rise. In contrast, changes of the equatorial upwelling regime in the open Pacific Ocean west of this oceanographic barrier have received markedly less attention. We therefore provide new proxy records from Ocean Drilling Program Site 849 located within the EEP open-ocean upwelling regime. Our target interval (</w:instrText>
      </w:r>
      <w:r w:rsidR="00536866">
        <w:rPr>
          <w:rFonts w:ascii="Cambria Math" w:hAnsi="Cambria Math" w:cs="Cambria Math"/>
        </w:rPr>
        <w:instrText>∼</w:instrText>
      </w:r>
      <w:r w:rsidR="00536866">
        <w:instrText>3.35–2.0 Ma) covers the Plio-Pleistocene transition characterized by the intensification of Northern Hemisphere Glaciation (iNHG). We use benthic δ18O values to generate a new, high-resolution age model for Site 849, and sand-accumulation rates together with benthic δ13C values to evaluate net export production. Although showing temporary substantial glacial-interglacial variations, our records indicate stability in net export production on secular timescales across the iNHG. We suggest the following processes to have controlled the long-term evolution of primary productivity at Site 849. First, nutrient export from the high latitudes to the EEP; second, a successive shoaling of the Pacific nutricline during the studied interval; and third, a simultaneous reduction in dust-borne iron input.","container-title":"Paleoceanography and Paleoclimatology","DOI":"10.1029/2020PA003965","ISSN":"2572-4525","issue":"4","language":"en","note":"_eprint: https://onlinelibrary.wiley.com/doi/pdf/10.1029/2020PA003965","page":"e2020PA003965","source":"Wiley Online Library","title":"Stable Biological Production in the Eastern Equatorial Pacific Across the Plio-Pleistocene Transition (</w:instrText>
      </w:r>
      <w:r w:rsidR="00536866">
        <w:rPr>
          <w:rFonts w:ascii="Cambria Math" w:hAnsi="Cambria Math" w:cs="Cambria Math"/>
        </w:rPr>
        <w:instrText>∼</w:instrText>
      </w:r>
      <w:r w:rsidR="00536866">
        <w:instrText xml:space="preserve">3.35–2.0 Ma)","volume":"36","author":[{"family":"Jakob","given":"Kim A."},{"family":"Ho","given":"S. Ling"},{"family":"Meckler","given":"A. Nele"},{"family":"Pross","given":"Jörg"},{"family":"Fiebig","given":"Jens"},{"family":"Keppler","given":"Frank"},{"family":"Friedrich","given":"Oliver"}],"issued":{"date-parts":[["2021"]]}}}],"schema":"https://github.com/citation-style-language/schema/raw/master/csl-citation.json"} </w:instrText>
      </w:r>
      <w:r w:rsidR="00F51E6E">
        <w:fldChar w:fldCharType="separate"/>
      </w:r>
      <w:r w:rsidR="00F51E6E" w:rsidRPr="00F51E6E">
        <w:t>Jakob et al.</w:t>
      </w:r>
      <w:r w:rsidR="009F2AF3">
        <w:t>,</w:t>
      </w:r>
      <w:r w:rsidR="00F51E6E" w:rsidRPr="00F51E6E">
        <w:t xml:space="preserve"> 2021)</w:t>
      </w:r>
      <w:r w:rsidR="00F51E6E">
        <w:fldChar w:fldCharType="end"/>
      </w:r>
      <w:r w:rsidR="00F51E6E">
        <w:t>, Site 1208 (dark blue, 3 pt. running mean</w:t>
      </w:r>
      <w:r w:rsidR="00F51E6E">
        <w:fldChar w:fldCharType="begin"/>
      </w:r>
      <w:r w:rsidR="00536866">
        <w:instrText xml:space="preserve"> ADDIN ZOTERO_ITEM CSL_CITATION {"citationID":"QvRRqKTu","properties":{"formattedCitation":"(Woodard et al., 2014)","plainCitation":"(Woodard et al., 2014)","dontUpdate":true,"noteIndex":0},"citationItems":[{"id":21,"uris":["http://zotero.org/users/6417926/items/9FQIV4U4"],"itemData":{"id":21,"type":"article-journal","container-title":"Science","DOI":"https://doi.org/10.1126/science.1255586","issue":"6211","language":"en","page":"847-851","source":"Zotero","title":"Antarctic role in Northern Hemisphere glaciation","volume":"346","author":[{"family":"Woodard","given":"Stella C"},{"family":"Rosenthal","given":"Yair"},{"family":"Miller","given":"Kenneth G"},{"family":"Wright","given":"James D"},{"family":"Chiu","given":"Beverly K"},{"family":"Lawrence","given":"Kira T"}],"issued":{"date-parts":[["2014"]]}}}],"schema":"https://github.com/citation-style-language/schema/raw/master/csl-citation.json"} </w:instrText>
      </w:r>
      <w:r w:rsidR="00F51E6E">
        <w:fldChar w:fldCharType="separate"/>
      </w:r>
      <w:r w:rsidR="009F2AF3">
        <w:t xml:space="preserve">, </w:t>
      </w:r>
      <w:r w:rsidR="00F51E6E" w:rsidRPr="00F51E6E">
        <w:t>Woodard et al.</w:t>
      </w:r>
      <w:r w:rsidR="009F2AF3">
        <w:t>,</w:t>
      </w:r>
      <w:r w:rsidR="00F51E6E" w:rsidRPr="00F51E6E">
        <w:t xml:space="preserve"> 2014)</w:t>
      </w:r>
      <w:r w:rsidR="00F51E6E">
        <w:fldChar w:fldCharType="end"/>
      </w:r>
      <w:r w:rsidR="009F2AF3">
        <w:t>, and Site U1308 (red, 3 pt. running mean</w:t>
      </w:r>
      <w:r w:rsidR="00E36904">
        <w:t>:</w:t>
      </w:r>
      <w:r w:rsidR="009F2AF3">
        <w:t xml:space="preserve"> </w:t>
      </w:r>
      <w:r w:rsidR="00E36904">
        <w:t>t</w:t>
      </w:r>
      <w:r w:rsidR="009F2AF3">
        <w:t xml:space="preserve">his study and </w:t>
      </w:r>
      <w:r w:rsidR="009F2AF3">
        <w:fldChar w:fldCharType="begin"/>
      </w:r>
      <w:r w:rsidR="00536866">
        <w:instrText xml:space="preserve"> ADDIN ZOTERO_ITEM CSL_CITATION {"citationID":"HJJvlXeb","properties":{"formattedCitation":"(De Schepper et al., 2013)","plainCitation":"(De Schepper et al., 2013)","dontUpdate":true,"noteIndex":0},"citationItems":[{"id":2,"uris":["http://zotero.org/users/6417926/items/6U3C8BAN"],"itemData":{"id":2,"type":"article-journal","abstract":"The early Late Pliocene (3.6 to ~3.0 million years ago) is the last extended interval in Earth's history when atmospheric CO2 concentrations were comparable to today's and global climate was warmer. Yet a severe global glaciation during marine isotope stage (MIS) M2 interrupted this phase of global warmth ~3.30 million years ago, and is seen as a premature attempt of the climate system to establish an ice-age world. Here we propose a conceptual model for the glaciation and deglaciation of MIS M2 based on geochemical and palynological records from five marine sediment cores along a Caribbean to eastern North Atlantic transect. Our records show that increased Pacific-to-Atlantic flow via the Central American Seaway weakened the North Atlantic Current and attendant northward heat transport prior to MIS M2. The consequent cooling of the northern high latitude oceans permitted expansion of the continental ice sheets during MIS M2, despite near-modern atmospheric CO2 concentrations. Sea level drop during this glaciation halted the inflow of Pacific water to the Atlantic via the Central American Seaway, allowing the build-up of a Caribbean Warm Pool. Once this warm pool was large enough, the Gulf Stream–North Atlantic Current system was reinvigorated, leading to significant northward heat transport that terminated the glaciation. Before and after MIS M2, heat transport via the North Atlantic Current was crucial in maintaining warm climates comparable to those predicted for the end of this century.","container-title":"PLOS ONE","DOI":"http://dx.doi.org/10.1371/journal.pone.0081508","ISSN":"1932-6203","issue":"12","language":"eng","license":"I have retained and own the full copyright for this publication","note":"number: 12","source":"biblio.ugent.be","title":"Northern hemisphere glaciation during the globally warm early Late Pliocene","URL":"http://hdl.handle.net/1854/LU-4213153","volume":"8","author":[{"family":"De Schepper","given":"Stijn"},{"family":"Groeneveld","given":"Jeroen"},{"family":"Naafs","given":"B. David A."},{"family":"Van Renterghem","given":"Cédéric"},{"family":"Hennissen","given":"Jan"},{"family":"Head","given":"Martin"},{"family":"Louwye","given":"Stephen"},{"family":"Fabian","given":"Karl"}],"accessed":{"date-parts":[["2020",3,5]]},"issued":{"date-parts":[["2013"]]}}}],"schema":"https://github.com/citation-style-language/schema/raw/master/csl-citation.json"} </w:instrText>
      </w:r>
      <w:r w:rsidR="009F2AF3">
        <w:fldChar w:fldCharType="separate"/>
      </w:r>
      <w:r w:rsidR="009F2AF3" w:rsidRPr="009F2AF3">
        <w:t>De Schepper et al.</w:t>
      </w:r>
      <w:r w:rsidR="008B31C3">
        <w:t>,</w:t>
      </w:r>
      <w:r w:rsidR="009F2AF3" w:rsidRPr="009F2AF3">
        <w:t xml:space="preserve"> 2013)</w:t>
      </w:r>
      <w:r w:rsidR="009F2AF3">
        <w:fldChar w:fldCharType="end"/>
      </w:r>
      <w:r w:rsidR="007B78F4">
        <w:t xml:space="preserve"> and</w:t>
      </w:r>
      <w:r w:rsidR="009F2AF3">
        <w:t xml:space="preserve"> </w:t>
      </w:r>
      <w:r w:rsidR="007B78F4">
        <w:t>t</w:t>
      </w:r>
      <w:r w:rsidR="009F2AF3">
        <w:t xml:space="preserve">he global </w:t>
      </w:r>
      <w:r w:rsidR="009F2AF3" w:rsidRPr="00FA3828">
        <w:t>δ18O</w:t>
      </w:r>
      <w:r w:rsidR="009F2AF3" w:rsidRPr="00FA3828">
        <w:rPr>
          <w:vertAlign w:val="subscript"/>
        </w:rPr>
        <w:t>b</w:t>
      </w:r>
      <w:r w:rsidR="009F2AF3">
        <w:t xml:space="preserve"> stack of </w:t>
      </w:r>
      <w:r w:rsidR="009F2AF3">
        <w:fldChar w:fldCharType="begin"/>
      </w:r>
      <w:r w:rsidR="00536866">
        <w:instrText xml:space="preserve"> ADDIN ZOTERO_ITEM CSL_CITATION {"citationID":"o4n3FZfX","properties":{"formattedCitation":"(Lisiecki and Raymo, 2005)","plainCitation":"(Lisiecki and Raymo, 2005)","dontUpdate":true,"noteIndex":0},"citationItems":[{"id":1586,"uris":["http://zotero.org/users/6417926/items/7A3HRBBD"],"itemData":{"id":1586,"type":"article-journal","abstract":"We present a 5.3-Myr stack (the “LR04” stack) of benthic δ18O records from 57 globally distributed sites aligned by an automated graphic correlation algorithm. This is the first benthic δ18O stack composed of more than three records to extend beyond 850 ka, and we use its improved signal quality to identify 24 new marine isotope stages in the early Pliocene. We also present a new LR04 age model for the Pliocene-Pleistocene derived from tuning the δ18O stack to a simple ice model based on 21 June insolation at 65°N. Stacked sedimentation rates provide additional age model constraints to prevent overtuning. Despite a conservative tuning strategy, the LR04 benthic stack exhibits significant coherency with insolation in the obliquity band throughout the entire 5.3 Myr and in the precession band for more than half of the record. The LR04 stack contains significantly more variance in benthic δ18O than previously published stacks of the late Pleistocene as the result of higher-resolution records, a better alignment technique, and a greater percentage of records from the Atlantic. Finally, the relative phases of the stack's 41- and 23-kyr components suggest that the precession component of δ18O from 2.7–1.6 Ma is primarily a deep-water temperature signal and that the phase of δ18O precession response changed suddenly at 1.6 Ma.","container-title":"Paleoceanography","DOI":"10.1029/2004PA001071","ISSN":"1944-9186","issue":"1","language":"en","note":"_eprint: https://onlinelibrary.wiley.com/doi/pdf/10.1029/2004PA001071","source":"Wiley Online Library","title":"A Pliocene-Pleistocene stack of 57 globally distributed benthic δ18O records","URL":"https://onlinelibrary.wiley.com/doi/abs/10.1029/2004PA001071","volume":"20","author":[{"family":"Lisiecki","given":"Lorraine E."},{"family":"Raymo","given":"Maureen E."}],"accessed":{"date-parts":[["2022",8,23]]},"issued":{"date-parts":[["2005"]]}}}],"schema":"https://github.com/citation-style-language/schema/raw/master/csl-citation.json"} </w:instrText>
      </w:r>
      <w:r w:rsidR="009F2AF3">
        <w:fldChar w:fldCharType="separate"/>
      </w:r>
      <w:r w:rsidR="009F2AF3" w:rsidRPr="009F2AF3">
        <w:t xml:space="preserve">Lisiecki and Raymo </w:t>
      </w:r>
      <w:r w:rsidR="009F2AF3">
        <w:t>(</w:t>
      </w:r>
      <w:r w:rsidR="009F2AF3" w:rsidRPr="009F2AF3">
        <w:t>2005)</w:t>
      </w:r>
      <w:r w:rsidR="009F2AF3">
        <w:fldChar w:fldCharType="end"/>
      </w:r>
      <w:r w:rsidR="009F2AF3">
        <w:t xml:space="preserve"> </w:t>
      </w:r>
      <w:r w:rsidR="008B31C3">
        <w:t>(</w:t>
      </w:r>
      <w:r w:rsidR="009F2AF3">
        <w:t>grey</w:t>
      </w:r>
      <w:r w:rsidR="008B31C3">
        <w:t>)</w:t>
      </w:r>
      <w:r w:rsidR="009F2AF3">
        <w:t xml:space="preserve">. Note the good </w:t>
      </w:r>
      <w:r w:rsidR="007B78F4">
        <w:t>stratigraphic agreement</w:t>
      </w:r>
      <w:r w:rsidR="009F2AF3">
        <w:t xml:space="preserve"> between sites for our study interval.</w:t>
      </w:r>
      <w:r>
        <w:t xml:space="preserve"> b)</w:t>
      </w:r>
      <w:r w:rsidR="009F2AF3">
        <w:t xml:space="preserve"> Mg/Ca</w:t>
      </w:r>
      <w:r w:rsidR="00E36904">
        <w:t>-</w:t>
      </w:r>
      <w:r w:rsidR="009F2AF3">
        <w:t xml:space="preserve">based temperature records </w:t>
      </w:r>
      <w:r w:rsidR="00F50E69">
        <w:t>covering the mid-Pliocene. Site U1308 (</w:t>
      </w:r>
      <w:r w:rsidR="008B31C3">
        <w:t>r</w:t>
      </w:r>
      <w:r w:rsidR="00F50E69">
        <w:t>ed, 3 pt. running mean, this study), Site 849 (</w:t>
      </w:r>
      <w:r w:rsidR="008B31C3">
        <w:t>b</w:t>
      </w:r>
      <w:r w:rsidR="00F50E69">
        <w:t xml:space="preserve">lue, 5 pt. running mean, this study), Site 607 (light and dark orange representing original and adjusted values, respectively. 3 pt. </w:t>
      </w:r>
      <w:r w:rsidR="00F50E69">
        <w:lastRenderedPageBreak/>
        <w:t xml:space="preserve">running mean, </w:t>
      </w:r>
      <w:proofErr w:type="spellStart"/>
      <w:r w:rsidR="00F50E69">
        <w:t>Sosdian</w:t>
      </w:r>
      <w:proofErr w:type="spellEnd"/>
      <w:r w:rsidR="00F50E69">
        <w:t xml:space="preserve"> and Rosenthal, 2009)</w:t>
      </w:r>
      <w:r w:rsidR="00E36904">
        <w:t xml:space="preserve"> and</w:t>
      </w:r>
      <w:r w:rsidR="00F50E69">
        <w:t xml:space="preserve"> Site 1208 (light and dark blue representing original and adjusted values, respectively. 3 pt. running mean, Woodard et al., 2014).</w:t>
      </w:r>
    </w:p>
    <w:p w14:paraId="4424BC0A" w14:textId="24B533DB" w:rsidR="00EA6499" w:rsidRDefault="00EA6499" w:rsidP="00601AE5"/>
    <w:p w14:paraId="56932C07" w14:textId="319C9321" w:rsidR="000B6888" w:rsidRDefault="00FF690D" w:rsidP="00601AE5">
      <w:r>
        <w:rPr>
          <w:noProof/>
        </w:rPr>
        <w:drawing>
          <wp:inline distT="0" distB="0" distL="0" distR="0" wp14:anchorId="5EC52A82" wp14:editId="68ECDF04">
            <wp:extent cx="5718327" cy="6412960"/>
            <wp:effectExtent l="0" t="0" r="0" b="6985"/>
            <wp:docPr id="5" name="Picture 5"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 histogram&#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54463" cy="6453486"/>
                    </a:xfrm>
                    <a:prstGeom prst="rect">
                      <a:avLst/>
                    </a:prstGeom>
                  </pic:spPr>
                </pic:pic>
              </a:graphicData>
            </a:graphic>
          </wp:inline>
        </w:drawing>
      </w:r>
    </w:p>
    <w:p w14:paraId="401368FA" w14:textId="0CC24DB1" w:rsidR="000B6888" w:rsidRPr="00023363" w:rsidRDefault="000B6888" w:rsidP="00FA04F2">
      <w:pPr>
        <w:pStyle w:val="Caption"/>
      </w:pPr>
      <w:r>
        <w:t>Fig. S</w:t>
      </w:r>
      <w:r w:rsidR="006E52DE">
        <w:t>7</w:t>
      </w:r>
      <w:r>
        <w:t xml:space="preserve"> a)</w:t>
      </w:r>
      <w:r w:rsidRPr="00F51E6E">
        <w:t xml:space="preserve"> </w:t>
      </w:r>
      <w:r w:rsidR="00E36904">
        <w:t xml:space="preserve">Benthic foraminiferal </w:t>
      </w:r>
      <w:r w:rsidRPr="00FA3828">
        <w:t>δ</w:t>
      </w:r>
      <w:r w:rsidRPr="008B31C3">
        <w:rPr>
          <w:vertAlign w:val="superscript"/>
        </w:rPr>
        <w:t>18</w:t>
      </w:r>
      <w:r w:rsidRPr="00FA3828">
        <w:t>O</w:t>
      </w:r>
      <w:r>
        <w:t xml:space="preserve"> from Site 849 (</w:t>
      </w:r>
      <w:r w:rsidR="006E52DE">
        <w:t>purple</w:t>
      </w:r>
      <w:r>
        <w:t xml:space="preserve">, 5 pt. running mean, </w:t>
      </w:r>
      <w:r>
        <w:fldChar w:fldCharType="begin"/>
      </w:r>
      <w:r w:rsidR="00536866">
        <w:instrText xml:space="preserve"> ADDIN ZOTERO_ITEM CSL_CITATION {"citationID":"iMKsSZHx","properties":{"formattedCitation":"(Jakob et al., 2021)","plainCitation":"(Jakob et al., 2021)","dontUpdate":true,"noteIndex":0},"citationItems":[{"id":533,"uris":["http://zotero.org/users/6417926/items/9EZW6V2I"],"itemData":{"id":533,"type":"article-journal","abstract":"Upwelling within the Eastern Equatorial Pacific (EEP) Ocean is a key factor for the Earth's climate because it supports &gt;10% of the present-day biological production. The dynamics of upwelling in the EEP across the Plio-Pleistocene transition—an interval particularly relevant for understanding near-future warming due to Anthropocene-like atmospheric carbon-dioxide levels—have been intensively studied for the region east of the East Pacific Rise. In contrast, changes of the equatorial upwelling regime in the open Pacific Ocean west of this oceanographic barrier have received markedly less attention. We therefore provide new proxy records from Ocean Drilling Program Site 849 located within the EEP open-ocean upwelling regime. Our target interval (</w:instrText>
      </w:r>
      <w:r w:rsidR="00536866">
        <w:rPr>
          <w:rFonts w:ascii="Cambria Math" w:hAnsi="Cambria Math" w:cs="Cambria Math"/>
        </w:rPr>
        <w:instrText>∼</w:instrText>
      </w:r>
      <w:r w:rsidR="00536866">
        <w:instrText>3.35–2.0 Ma) covers the Plio-Pleistocene transition characterized by the intensification of Northern Hemisphere Glaciati</w:instrText>
      </w:r>
      <w:r w:rsidR="00536866" w:rsidRPr="00A60D72">
        <w:rPr>
          <w:lang w:val="en-US"/>
        </w:rPr>
        <w:instrText xml:space="preserve">on (iNHG). We use benthic </w:instrText>
      </w:r>
      <w:r w:rsidR="00536866">
        <w:instrText>δ</w:instrText>
      </w:r>
      <w:r w:rsidR="00536866" w:rsidRPr="00A60D72">
        <w:rPr>
          <w:lang w:val="en-US"/>
        </w:rPr>
        <w:instrText xml:space="preserve">18O values to generate a new, high-resolution age model for Site 849, and sand-accumulation rates together with benthic </w:instrText>
      </w:r>
      <w:r w:rsidR="00536866">
        <w:instrText>δ</w:instrText>
      </w:r>
      <w:r w:rsidR="00536866" w:rsidRPr="00A60D72">
        <w:rPr>
          <w:lang w:val="en-US"/>
        </w:rPr>
        <w:instrText>13C values to evaluate net export production. Although showing temporary substantial glacial-interglacial variations, our records indicate stability in net export production on secular timescales across the iNHG. We suggest the following processes to have controlled the long-term evolution of primary productivity at Site 849. First, nutrient export from the high latitudes to the EEP; second, a successive shoaling of the Pacific nutricline during the studied interval; and third, a simultaneous reduction in dust-borne iron input.","container-title":"Paleoceanography and Paleoclimatology","DOI":"10.1029/2020PA003965","ISSN":"2572-4525","issue":"4","language":"en","note":"_eprint: https://onlinelibrary.wiley.com/doi/pdf/10.1029/2020PA003965","page":"e2020PA003965","source":"Wiley Online Library","title":"Stable Biological Production in the Eastern Equatorial Pacific Across the Plio-Pleistocene Transition (</w:instrText>
      </w:r>
      <w:r w:rsidR="00536866" w:rsidRPr="00A60D72">
        <w:rPr>
          <w:rFonts w:ascii="Cambria Math" w:hAnsi="Cambria Math" w:cs="Cambria Math"/>
          <w:lang w:val="en-US"/>
        </w:rPr>
        <w:instrText>∼</w:instrText>
      </w:r>
      <w:r w:rsidR="00536866" w:rsidRPr="00A60D72">
        <w:rPr>
          <w:lang w:val="en-US"/>
        </w:rPr>
        <w:instrText xml:space="preserve">3.35–2.0 Ma)","volume":"36","author":[{"family":"Jakob","given":"Kim A."},{"family":"Ho","given":"S. Ling"},{"family":"Meckler","given":"A. Nele"},{"family":"Pross","given":"Jörg"},{"family":"Fiebig","given":"Jens"},{"family":"Keppler","given":"Frank"},{"family":"Friedrich","given":"Oliver"}],"issued":{"date-parts":[["2021"]]}}}],"schema":"https://github.com/citation-style-language/schema/raw/master/csl-citation.json"} </w:instrText>
      </w:r>
      <w:r>
        <w:fldChar w:fldCharType="separate"/>
      </w:r>
      <w:r w:rsidRPr="00A60D72">
        <w:rPr>
          <w:lang w:val="en-US"/>
        </w:rPr>
        <w:t>Jakob et al., 2021)</w:t>
      </w:r>
      <w:r>
        <w:fldChar w:fldCharType="end"/>
      </w:r>
      <w:r w:rsidRPr="00A60D72">
        <w:rPr>
          <w:lang w:val="en-US"/>
        </w:rPr>
        <w:t xml:space="preserve">, Site </w:t>
      </w:r>
      <w:r w:rsidR="006E52DE" w:rsidRPr="00A60D72">
        <w:rPr>
          <w:lang w:val="en-US"/>
        </w:rPr>
        <w:t>999</w:t>
      </w:r>
      <w:r w:rsidRPr="00A60D72">
        <w:rPr>
          <w:lang w:val="en-US"/>
        </w:rPr>
        <w:t xml:space="preserve"> (</w:t>
      </w:r>
      <w:r w:rsidR="00536866" w:rsidRPr="00A60D72">
        <w:rPr>
          <w:lang w:val="en-US"/>
        </w:rPr>
        <w:t>green</w:t>
      </w:r>
      <w:r w:rsidR="00E456EB" w:rsidRPr="00A60D72">
        <w:rPr>
          <w:lang w:val="en-US"/>
        </w:rPr>
        <w:t>,</w:t>
      </w:r>
      <w:r w:rsidR="00536866" w:rsidRPr="00A60D72">
        <w:rPr>
          <w:lang w:val="en-US"/>
        </w:rPr>
        <w:t xml:space="preserve"> </w:t>
      </w:r>
      <w:r>
        <w:fldChar w:fldCharType="begin"/>
      </w:r>
      <w:r w:rsidR="00536866" w:rsidRPr="00A60D72">
        <w:rPr>
          <w:lang w:val="en-US"/>
        </w:rPr>
        <w:instrText xml:space="preserve"> ADDIN ZOTERO_ITEM CSL_CITATION {"citationID":"mBihg0ib","properties":{"formattedCitation":"(de la Vega et al., 2020)","plainCitation":"(de la Vega et al., 2020)","noteIndex":0},"citationItems</w:instrText>
      </w:r>
      <w:r w:rsidR="00536866" w:rsidRPr="00536866">
        <w:rPr>
          <w:lang w:val="nb-NO"/>
        </w:rPr>
        <w:instrText xml:space="preserve">":[{"id":579,"uris":["http://zotero.org/users/6417926/items/6UDT637I"],"itemData":{"id":579,"type":"article-journal","abstract":"The Piacenzian stage of the Pliocene (2.6 to 3.6 Ma) is the most recent past interval of sustained global warmth with mean global temperatures markedly higher (by ~2–3 °C) than today. Quantifying CO2 levels during the mid-Piacenzian Warm Period (mPWP) provides a means, therefore, to deepen our understanding of Earth System behaviour in a warm climate state. Here we present a new high-resolution record of atmospheric CO2 using the </w:instrText>
      </w:r>
      <w:r w:rsidR="00536866">
        <w:instrText>δ</w:instrText>
      </w:r>
      <w:r w:rsidR="00536866" w:rsidRPr="00536866">
        <w:rPr>
          <w:lang w:val="nb-NO"/>
        </w:rPr>
        <w:instrText>11B-pH proxy from 3.35 to 3.15 million years ago (Ma) at a temporal resolution of 1 sample per 3–6 thousand years (kyrs). Our study interval covers both the coolest marine isotope stage of the mPWP, M2 (~3.3 Ma) and the transition into its warmest phase including interglacial KM5c (centered on ~3.205 M</w:instrText>
      </w:r>
      <w:r w:rsidR="00536866" w:rsidRPr="000E260D">
        <w:rPr>
          <w:lang w:val="en-US"/>
        </w:rPr>
        <w:instrText>a) which has a si</w:instrText>
      </w:r>
      <w:r w:rsidR="00536866" w:rsidRPr="00E36904">
        <w:rPr>
          <w:lang w:val="en-US"/>
        </w:rPr>
        <w:instrText xml:space="preserve">milar orbital configuration to present. We find that CO2 ranged from $${{\\bf{394}}}_{{\\boldsymbol{-}}{\\bf{9}}}^{{\\boldsymbol{+}}{\\bf{34}}}$$ppm to $${{\\bf{330}}}_{{\\boldsymbol{-}}{\\bf{21}}}^{{\\boldsymbol{+}}{\\bf{14}}}$$ppm: with CO2 during the KM5c interglacial being $${{\\bf{391}}}_{{\\boldsymbol{-}}{\\bf{28}}}^{{\\boldsymbol{+}}{\\bf{30}}}$$ppm (at 95% confidence). Our findings corroborate the idea that changes in atmospheric CO2 levels played a distinct role in climate variability during the mPWP. They also facilitate ongoing data-model comparisons and suggest that, at present rates of human emissions, there will be more CO2 in Earth’s atmosphere by 2025 than at any time in at least the last 3.3 million years.","container-title":"Scientific Reports","DOI":"10.1038/s41598-020-67154-8","ISSN":"2045-2322","issue":"1","journalAbbreviation":"Sci Rep","language":"en","license":"2020 The Author(s)","note":"number: 1\npublisher: Nature Publishing Group","page":"11002","source":"www.nature.com","title":"Atmospheric CO2 during the Mid-Piacenzian Warm Period and the M2 glaciation","volume":"10","author":[{"family":"Vega","given":"Elwyn","non-dropping-particle":"de la"},{"family":"Chalk","given":"Thomas B."},{"family":"Wilson","given":"Paul A."},{"family":"Bysani","given":"Ratna Priya"},{"family":"Foster","given":"Gavin L."}],"issued":{"date-parts":[["2020",7,9]]}}}],"schema":"https://github.com/citation-style-language/schema/raw/master/csl-citation.json"} </w:instrText>
      </w:r>
      <w:r>
        <w:fldChar w:fldCharType="separate"/>
      </w:r>
      <w:r w:rsidR="00536866" w:rsidRPr="00E36904">
        <w:rPr>
          <w:lang w:val="en-US"/>
        </w:rPr>
        <w:t>de la Vega et al., 2020)</w:t>
      </w:r>
      <w:r>
        <w:fldChar w:fldCharType="end"/>
      </w:r>
      <w:r w:rsidR="00E36904" w:rsidRPr="00E36904">
        <w:rPr>
          <w:lang w:val="en-US"/>
        </w:rPr>
        <w:t xml:space="preserve"> an</w:t>
      </w:r>
      <w:r w:rsidR="00E36904">
        <w:rPr>
          <w:lang w:val="en-US"/>
        </w:rPr>
        <w:t>d</w:t>
      </w:r>
      <w:r w:rsidR="00536866" w:rsidRPr="00E36904">
        <w:rPr>
          <w:lang w:val="en-US"/>
        </w:rPr>
        <w:t xml:space="preserve"> </w:t>
      </w:r>
      <w:r w:rsidR="00E36904">
        <w:rPr>
          <w:lang w:val="en-US"/>
        </w:rPr>
        <w:t>t</w:t>
      </w:r>
      <w:r w:rsidRPr="00E36904">
        <w:rPr>
          <w:lang w:val="en-US"/>
        </w:rPr>
        <w:t xml:space="preserve">he global </w:t>
      </w:r>
      <w:r w:rsidRPr="00FA3828">
        <w:t>δ</w:t>
      </w:r>
      <w:r w:rsidRPr="008B31C3">
        <w:rPr>
          <w:vertAlign w:val="superscript"/>
          <w:lang w:val="en-US"/>
        </w:rPr>
        <w:t>18</w:t>
      </w:r>
      <w:r w:rsidRPr="00E36904">
        <w:rPr>
          <w:lang w:val="en-US"/>
        </w:rPr>
        <w:t>O</w:t>
      </w:r>
      <w:r w:rsidRPr="00E36904">
        <w:rPr>
          <w:vertAlign w:val="subscript"/>
          <w:lang w:val="en-US"/>
        </w:rPr>
        <w:t>b</w:t>
      </w:r>
      <w:r w:rsidRPr="00E36904">
        <w:rPr>
          <w:lang w:val="en-US"/>
        </w:rPr>
        <w:t xml:space="preserve"> stack of </w:t>
      </w:r>
      <w:r>
        <w:fldChar w:fldCharType="begin"/>
      </w:r>
      <w:r w:rsidR="00536866" w:rsidRPr="00E36904">
        <w:rPr>
          <w:lang w:val="en-US"/>
        </w:rPr>
        <w:instrText xml:space="preserve"> ADDIN ZOTERO_ITEM CSL_CITATION {"citationID":"6Fun5txt","properties":{"formattedCitation":"(Lisiecki and Raymo, 2005)","plainCitation":"(Lisiecki and Raymo, 2005)","dontUpdate":true,"noteIndex":0},"citationItems":[{"id":1586,"uris":["http://zotero.org/users/6417926/items/7A3HRBBD"],"itemData":{"id":1586,"type":"article-journal","abstract":"We present a 5.3-Myr stack (the “LR04” stack) of benthic </w:instrText>
      </w:r>
      <w:r w:rsidR="00536866">
        <w:instrText>δ</w:instrText>
      </w:r>
      <w:r w:rsidR="00536866" w:rsidRPr="00E36904">
        <w:rPr>
          <w:lang w:val="en-US"/>
        </w:rPr>
        <w:instrText xml:space="preserve">18O records from 57 globally distributed sites aligned by an automated graphic correlation algorithm. This is the first benthic </w:instrText>
      </w:r>
      <w:r w:rsidR="00536866">
        <w:instrText>δ</w:instrText>
      </w:r>
      <w:r w:rsidR="00536866" w:rsidRPr="00E36904">
        <w:rPr>
          <w:lang w:val="en-US"/>
        </w:rPr>
        <w:instrText xml:space="preserve">18O stack composed of more than three records to extend beyond 850 ka, and we use its improved signal quality to identify 24 new marine isotope stages in the early Pliocene. We also present a new LR04 age model for the Pliocene-Pleistocene derived from tuning the </w:instrText>
      </w:r>
      <w:r w:rsidR="00536866">
        <w:instrText>δ</w:instrText>
      </w:r>
      <w:r w:rsidR="00536866" w:rsidRPr="00E36904">
        <w:rPr>
          <w:lang w:val="en-US"/>
        </w:rPr>
        <w:instrText xml:space="preserve">18O stack to a simple ice model based on 21 June insolation at 65°N. Stacked sedimentation rates provide additional age model constraints to prevent overtuning. Despite a conservative tuning strategy, the LR04 benthic stack exhibits significant coherency with insolation in the obliquity band throughout the entire 5.3 Myr and in the precession band for more than half of the record. The LR04 stack contains significantly more variance in benthic </w:instrText>
      </w:r>
      <w:r w:rsidR="00536866">
        <w:instrText>δ</w:instrText>
      </w:r>
      <w:r w:rsidR="00536866" w:rsidRPr="00E36904">
        <w:rPr>
          <w:lang w:val="en-US"/>
        </w:rPr>
        <w:instrText xml:space="preserve">18O than previously published stacks of the late Pleistocene as the result of higher-resolution records, a better alignment technique, and a greater percentage of records from the Atlantic. Finally, the relative phases of the stack's 41- and 23-kyr components suggest that the precession component of </w:instrText>
      </w:r>
      <w:r w:rsidR="00536866">
        <w:instrText>δ</w:instrText>
      </w:r>
      <w:r w:rsidR="00536866" w:rsidRPr="00E36904">
        <w:rPr>
          <w:lang w:val="en-US"/>
        </w:rPr>
        <w:instrText xml:space="preserve">18O from 2.7–1.6 Ma is primarily a deep-water temperature signal and that the phase of </w:instrText>
      </w:r>
      <w:r w:rsidR="00536866">
        <w:instrText>δ</w:instrText>
      </w:r>
      <w:r w:rsidR="00536866" w:rsidRPr="00E36904">
        <w:rPr>
          <w:lang w:val="en-US"/>
        </w:rPr>
        <w:instrText xml:space="preserve">18O precession response changed suddenly at 1.6 Ma.","container-title":"Paleoceanography","DOI":"10.1029/2004PA001071","ISSN":"1944-9186","issue":"1","language":"en","note":"_eprint: https://onlinelibrary.wiley.com/doi/pdf/10.1029/2004PA001071","source":"Wiley Online Library","title":"A Pliocene-Pleistocene stack of 57 globally distributed benthic </w:instrText>
      </w:r>
      <w:r w:rsidR="00536866">
        <w:instrText>δ</w:instrText>
      </w:r>
      <w:r w:rsidR="00536866" w:rsidRPr="00E36904">
        <w:rPr>
          <w:lang w:val="en-US"/>
        </w:rPr>
        <w:instrText xml:space="preserve">18O records","URL":"https://onlinelibrary.wiley.com/doi/abs/10.1029/2004PA001071","volume":"20","author":[{"family":"Lisiecki","given":"Lorraine E."},{"family":"Raymo","given":"Maureen E."}],"accessed":{"date-parts":[["2022",8,23]]},"issued":{"date-parts":[["2005"]]}}}],"schema":"https://github.com/citation-style-language/schema/raw/master/csl-citation.json"} </w:instrText>
      </w:r>
      <w:r>
        <w:fldChar w:fldCharType="separate"/>
      </w:r>
      <w:r w:rsidRPr="00E36904">
        <w:rPr>
          <w:lang w:val="en-US"/>
        </w:rPr>
        <w:t>Lisiecki and Raymo (2005)</w:t>
      </w:r>
      <w:r>
        <w:fldChar w:fldCharType="end"/>
      </w:r>
      <w:r w:rsidRPr="00E36904">
        <w:rPr>
          <w:lang w:val="en-US"/>
        </w:rPr>
        <w:t xml:space="preserve"> </w:t>
      </w:r>
      <w:r w:rsidR="00E36904">
        <w:rPr>
          <w:lang w:val="en-US"/>
        </w:rPr>
        <w:t>(</w:t>
      </w:r>
      <w:r w:rsidRPr="00E36904">
        <w:rPr>
          <w:lang w:val="en-US"/>
        </w:rPr>
        <w:t>grey</w:t>
      </w:r>
      <w:r w:rsidR="00E36904">
        <w:rPr>
          <w:lang w:val="en-US"/>
        </w:rPr>
        <w:t>)</w:t>
      </w:r>
      <w:r w:rsidR="00FA04F2" w:rsidRPr="00E36904">
        <w:rPr>
          <w:lang w:val="en-US"/>
        </w:rPr>
        <w:t>,</w:t>
      </w:r>
      <w:r w:rsidRPr="00E36904">
        <w:rPr>
          <w:lang w:val="en-US"/>
        </w:rPr>
        <w:t xml:space="preserve"> </w:t>
      </w:r>
      <w:r w:rsidR="00FA04F2" w:rsidRPr="00E36904">
        <w:rPr>
          <w:lang w:val="en-US"/>
        </w:rPr>
        <w:t>b) Site 849</w:t>
      </w:r>
      <w:r w:rsidR="00E36904">
        <w:rPr>
          <w:lang w:val="en-US"/>
        </w:rPr>
        <w:t xml:space="preserve"> benthic foraminiferal</w:t>
      </w:r>
      <w:r w:rsidR="00FA04F2" w:rsidRPr="00E36904">
        <w:rPr>
          <w:lang w:val="en-US"/>
        </w:rPr>
        <w:t xml:space="preserve"> Mg/Ca and </w:t>
      </w:r>
      <w:r w:rsidR="00FA04F2">
        <w:rPr>
          <w:lang w:val="en-US"/>
        </w:rPr>
        <w:t>Δ</w:t>
      </w:r>
      <w:r w:rsidR="00FA04F2" w:rsidRPr="00E36904">
        <w:rPr>
          <w:vertAlign w:val="subscript"/>
          <w:lang w:val="en-US"/>
        </w:rPr>
        <w:t>47</w:t>
      </w:r>
      <w:r w:rsidR="00FA04F2" w:rsidRPr="00E36904">
        <w:rPr>
          <w:lang w:val="en-US"/>
        </w:rPr>
        <w:t xml:space="preserve">-based </w:t>
      </w:r>
      <w:r w:rsidR="00E36904">
        <w:rPr>
          <w:lang w:val="en-US"/>
        </w:rPr>
        <w:lastRenderedPageBreak/>
        <w:t xml:space="preserve">bottom water </w:t>
      </w:r>
      <w:r w:rsidR="00FA04F2" w:rsidRPr="00E36904">
        <w:rPr>
          <w:lang w:val="en-US"/>
        </w:rPr>
        <w:t>temperatures (this study)</w:t>
      </w:r>
      <w:r w:rsidR="00E36904">
        <w:rPr>
          <w:lang w:val="en-US"/>
        </w:rPr>
        <w:t xml:space="preserve"> and</w:t>
      </w:r>
      <w:r w:rsidR="00FA04F2" w:rsidRPr="00E36904">
        <w:rPr>
          <w:lang w:val="en-US"/>
        </w:rPr>
        <w:t xml:space="preserve"> c) reconstructed atmospheric CO</w:t>
      </w:r>
      <w:r w:rsidR="00FA04F2" w:rsidRPr="00E36904">
        <w:rPr>
          <w:vertAlign w:val="subscript"/>
          <w:lang w:val="en-US"/>
        </w:rPr>
        <w:t>2</w:t>
      </w:r>
      <w:r w:rsidR="00FA04F2" w:rsidRPr="00E36904">
        <w:rPr>
          <w:lang w:val="en-US"/>
        </w:rPr>
        <w:t xml:space="preserve"> from the </w:t>
      </w:r>
      <w:r w:rsidR="00FA04F2">
        <w:rPr>
          <w:lang w:val="en-US"/>
        </w:rPr>
        <w:t>δ</w:t>
      </w:r>
      <w:r w:rsidR="00FA04F2" w:rsidRPr="00E36904">
        <w:rPr>
          <w:vertAlign w:val="superscript"/>
          <w:lang w:val="en-US"/>
        </w:rPr>
        <w:t>11</w:t>
      </w:r>
      <w:r w:rsidR="00FA04F2" w:rsidRPr="00E36904">
        <w:rPr>
          <w:lang w:val="en-US"/>
        </w:rPr>
        <w:t xml:space="preserve">B-pH proxy from Site 999 </w:t>
      </w:r>
      <w:r w:rsidR="00FA04F2">
        <w:rPr>
          <w:lang w:val="en-US"/>
        </w:rPr>
        <w:fldChar w:fldCharType="begin"/>
      </w:r>
      <w:r w:rsidR="00FA04F2" w:rsidRPr="00E36904">
        <w:rPr>
          <w:lang w:val="en-US"/>
        </w:rPr>
        <w:instrText xml:space="preserve"> ADDIN ZOTERO_ITEM CSL_CITATION {"citationID":"ExCqROyz","properties":{"formattedCitation":"(de la Vega et al., 2020)","plainCitation":"(de la Vega et al., 2020)","noteIndex":0},"citationItems":[{"id":579,"uris":["http://zotero.org/users/6417926/items/6UDT637I"],"itemData":{"id":579,"type":"article-journal","abstract":"The Piacenzian stage of the Pliocene (2.6 to 3.6 Ma) is the most recent past interval of sustained global warmth with mean global temperatures markedly higher (by ~2–3 °C) than today. Quantifying CO2 levels during the mid-Piacenzian Warm Period (mPWP) provides a means, therefore, to deepen our understanding of Earth System behaviour in a warm climate state. Here we present a new high-resolution record of atmospheric CO2 using the </w:instrText>
      </w:r>
      <w:r w:rsidR="00FA04F2">
        <w:rPr>
          <w:lang w:val="en-US"/>
        </w:rPr>
        <w:instrText>δ</w:instrText>
      </w:r>
      <w:r w:rsidR="00FA04F2" w:rsidRPr="00E36904">
        <w:rPr>
          <w:lang w:val="en-US"/>
        </w:rPr>
        <w:instrText>11B-pH proxy from 3.35 to 3.15 million years ago (Ma) at a temporal resolution of 1 sample per 3–6 thousand years (kyrs). Our study interval covers both the coolest marine isotope stage of the mPWP, M2 (~3.3 Ma) and the transition into its warmest phase including interglacial KM5c (centered on ~3.205 Ma) which has a similar orbital configuration to present. We find that CO2 ranged from $${{\\bf{394}}}_{{\\boldsymbol{-}}{\\bf{9}}}^{{\\boldsymbol{+}}{\\bf{34}}}$$ppm to $${{\\bf{330}}}_{{\\boldsymbol{-}}{\\bf{21}}}^{{\\boldsymbol{+}}{\\bf{14}}}$$ppm: with CO2 during the KM5c</w:instrText>
      </w:r>
      <w:r w:rsidR="00FA04F2">
        <w:rPr>
          <w:lang w:val="en-US"/>
        </w:rPr>
        <w:instrText xml:space="preserve"> interglacial being $${{\\bf{391}}}_{{\\boldsymbol{-}}{\\bf{28}}}^{{\\boldsymbol{+}}{\\bf{30}}}$$ppm (at 95% confidence). Our findings corroborate the idea that changes in atmospheric CO2 levels played a distinct role in climate variability during the mPWP. They also facilitate ongoing data-model comparisons and suggest that, at present rates of human emissions, there will be more CO2 in Earth’s atmosphere by 2025 than at any time in at least the last 3.3 million years.","container-title":"Scientific Reports","DOI":"10.1038/s41598-020-67154-8","ISSN":"2045-2322","issue":"1","journalAbbreviation":"Sci Rep","language":"en","license":"2020 The Author(s)","note":"number: 1\npublisher: Nature Publishing Group","page":"11002","source":"www.nature.com","title":"Atmospheric CO2 during the Mid-Piacenzian Warm Period and the M2 glaciation","volume":"10","author":[{"family":"Vega","given":"Elwyn","non-dropping-particle":"de la"},{"family":"Chalk","given":"Thomas B."},{"family":"Wilson","given":"Paul A."},{"family":"Bysani","given":"Ratna Priya"},{"family":"Foster","given":"Gavin L."}],"issued":{"date-parts":[["2020",7,9]]}}}],"schema":"https://github.com/citation-style-language/schema/raw/master/csl-citation.json"} </w:instrText>
      </w:r>
      <w:r w:rsidR="00FA04F2">
        <w:rPr>
          <w:lang w:val="en-US"/>
        </w:rPr>
        <w:fldChar w:fldCharType="separate"/>
      </w:r>
      <w:r w:rsidR="00FA04F2" w:rsidRPr="00FA04F2">
        <w:t>(de la Vega et al., 2020)</w:t>
      </w:r>
      <w:r w:rsidR="00FA04F2">
        <w:rPr>
          <w:lang w:val="en-US"/>
        </w:rPr>
        <w:fldChar w:fldCharType="end"/>
      </w:r>
      <w:r w:rsidR="00FA04F2">
        <w:t xml:space="preserve">. Note the good </w:t>
      </w:r>
      <w:r w:rsidR="00023363">
        <w:t xml:space="preserve">alignment of </w:t>
      </w:r>
      <w:r w:rsidR="00FA04F2">
        <w:t>Site 849 and 999</w:t>
      </w:r>
      <w:r w:rsidR="00023363">
        <w:t xml:space="preserve"> </w:t>
      </w:r>
      <w:r w:rsidR="00023363" w:rsidRPr="00FA3828">
        <w:t>δ</w:t>
      </w:r>
      <w:r w:rsidR="00023363" w:rsidRPr="008B31C3">
        <w:rPr>
          <w:vertAlign w:val="superscript"/>
        </w:rPr>
        <w:t>18</w:t>
      </w:r>
      <w:r w:rsidR="00023363" w:rsidRPr="00FA3828">
        <w:t>O</w:t>
      </w:r>
      <w:r w:rsidR="00023363" w:rsidRPr="00FA3828">
        <w:rPr>
          <w:vertAlign w:val="subscript"/>
        </w:rPr>
        <w:t>b</w:t>
      </w:r>
      <w:r w:rsidR="00FA04F2">
        <w:t xml:space="preserve"> showing that the </w:t>
      </w:r>
      <w:r w:rsidR="00023363">
        <w:t xml:space="preserve">lag between </w:t>
      </w:r>
      <w:r w:rsidR="00023363" w:rsidRPr="00FA3828">
        <w:t>δ</w:t>
      </w:r>
      <w:r w:rsidR="00023363" w:rsidRPr="008B31C3">
        <w:rPr>
          <w:vertAlign w:val="superscript"/>
          <w:lang w:val="en-US"/>
        </w:rPr>
        <w:t>18</w:t>
      </w:r>
      <w:r w:rsidR="00023363" w:rsidRPr="00FA04F2">
        <w:rPr>
          <w:lang w:val="en-US"/>
        </w:rPr>
        <w:t>O</w:t>
      </w:r>
      <w:r w:rsidR="00023363" w:rsidRPr="00FA04F2">
        <w:rPr>
          <w:vertAlign w:val="subscript"/>
          <w:lang w:val="en-US"/>
        </w:rPr>
        <w:t>b</w:t>
      </w:r>
      <w:r w:rsidR="00023363">
        <w:rPr>
          <w:lang w:val="en-US"/>
        </w:rPr>
        <w:t xml:space="preserve"> at Site 849 and CO</w:t>
      </w:r>
      <w:r w:rsidR="00023363">
        <w:rPr>
          <w:vertAlign w:val="subscript"/>
          <w:lang w:val="en-US"/>
        </w:rPr>
        <w:t>2</w:t>
      </w:r>
      <w:r w:rsidR="00023363">
        <w:rPr>
          <w:lang w:val="en-US"/>
        </w:rPr>
        <w:t xml:space="preserve"> is not an effect of age</w:t>
      </w:r>
      <w:r w:rsidR="00E36904">
        <w:rPr>
          <w:lang w:val="en-US"/>
        </w:rPr>
        <w:t xml:space="preserve"> </w:t>
      </w:r>
      <w:r w:rsidR="00023363">
        <w:rPr>
          <w:lang w:val="en-US"/>
        </w:rPr>
        <w:t>model offsets.</w:t>
      </w:r>
    </w:p>
    <w:p w14:paraId="5300A154" w14:textId="2D6C3D7E" w:rsidR="00C26311" w:rsidRDefault="00F5258E" w:rsidP="00F5258E">
      <w:pPr>
        <w:pStyle w:val="Heading1"/>
      </w:pPr>
      <w:r>
        <w:t>References</w:t>
      </w:r>
    </w:p>
    <w:p w14:paraId="00198D92" w14:textId="77777777" w:rsidR="00A60D72" w:rsidRPr="00A60D72" w:rsidRDefault="0032623E" w:rsidP="00A60D72">
      <w:pPr>
        <w:pStyle w:val="Bibliography"/>
      </w:pPr>
      <w:r>
        <w:fldChar w:fldCharType="begin"/>
      </w:r>
      <w:r w:rsidR="00DA0966">
        <w:instrText xml:space="preserve"> ADDIN ZOTERO_BIBL {"uncited":[],"omitted":[],"custom":[]} CSL_BIBLIOGRAPHY </w:instrText>
      </w:r>
      <w:r>
        <w:fldChar w:fldCharType="separate"/>
      </w:r>
      <w:r w:rsidR="00A60D72" w:rsidRPr="00A60D72">
        <w:t>Barker, S., Greaves, M., and Elderfield, H.: A study of cleaning procedures used for foraminiferal Mg/Ca paleothermometry, Geochem. Geophys. Geosystems, 4, https://doi.org/10.1029/2003GC000559, 2003.</w:t>
      </w:r>
    </w:p>
    <w:p w14:paraId="6F58CBB7" w14:textId="77777777" w:rsidR="00A60D72" w:rsidRPr="00A60D72" w:rsidRDefault="00A60D72" w:rsidP="00A60D72">
      <w:pPr>
        <w:pStyle w:val="Bibliography"/>
      </w:pPr>
      <w:r w:rsidRPr="00A60D72">
        <w:t>De Schepper, S., Groeneveld, J., Naafs, B. D. A., Van Renterghem, C., Hennissen, J., Head, M., Louwye, S., and Fabian, K.: Northern hemisphere glaciation during the globally warm early Late Pliocene, PLOS ONE, 8, http://dx.doi.org/10.1371/journal.pone.0081508, 2013.</w:t>
      </w:r>
    </w:p>
    <w:p w14:paraId="3C8C15BB" w14:textId="77777777" w:rsidR="00A60D72" w:rsidRPr="00A60D72" w:rsidRDefault="00A60D72" w:rsidP="00A60D72">
      <w:pPr>
        <w:pStyle w:val="Bibliography"/>
      </w:pPr>
      <w:r w:rsidRPr="00A60D72">
        <w:t>Evans, D., Brierley, C., Raymo, M. E., Erez, J., and Müller, W.: Planktic foraminifera shell chemistry response to seawater chemistry: Pliocene–Pleistocene seawater Mg/Ca, temperature and sea level change, Earth Planet. Sci. Lett., 438, 139–148, https://doi.org/10.1016/j.epsl.2016.01.013, 2016.</w:t>
      </w:r>
    </w:p>
    <w:p w14:paraId="652A7DEC" w14:textId="77777777" w:rsidR="00A60D72" w:rsidRPr="00A60D72" w:rsidRDefault="00A60D72" w:rsidP="00A60D72">
      <w:pPr>
        <w:pStyle w:val="Bibliography"/>
      </w:pPr>
      <w:r w:rsidRPr="00A60D72">
        <w:t>Jakob, K. A., Wilson, P. A., Pross, J., Ezard, T. H. G., Fiebig, J., Repschläger, J., and Friedrich, O.: A new sea-level record for the Neogene/Quaternary boundary reveals transition to a more stable East Antarctic Ice Sheet, Proc. Natl. Acad. Sci., 117, 30980–30987, https://doi.org/10.1073/pnas.2004209117, 2020.</w:t>
      </w:r>
    </w:p>
    <w:p w14:paraId="2A2DC284" w14:textId="77777777" w:rsidR="00A60D72" w:rsidRPr="00A60D72" w:rsidRDefault="00A60D72" w:rsidP="00A60D72">
      <w:pPr>
        <w:pStyle w:val="Bibliography"/>
      </w:pPr>
      <w:r w:rsidRPr="00A60D72">
        <w:t>Jakob, K. A., Ho, S. L., Meckler, A. N., Pross, J., Fiebig, J., Keppler, F., and Friedrich, O.: Stable Biological Production in the Eastern Equatorial Pacific Across the Plio-Pleistocene Transition (</w:t>
      </w:r>
      <w:r w:rsidRPr="00A60D72">
        <w:rPr>
          <w:rFonts w:ascii="Cambria Math" w:hAnsi="Cambria Math" w:cs="Cambria Math"/>
        </w:rPr>
        <w:t>∼</w:t>
      </w:r>
      <w:r w:rsidRPr="00A60D72">
        <w:t>3.35–2.0 Ma), Paleoceanogr. Paleoclimatology, 36, e2020PA003965, https://doi.org/10.1029/2020PA003965, 2021.</w:t>
      </w:r>
    </w:p>
    <w:p w14:paraId="388C1E7E" w14:textId="77777777" w:rsidR="00A60D72" w:rsidRPr="00A60D72" w:rsidRDefault="00A60D72" w:rsidP="00A60D72">
      <w:pPr>
        <w:pStyle w:val="Bibliography"/>
      </w:pPr>
      <w:r w:rsidRPr="00A60D72">
        <w:t>Lear, C. H., Rosenthal, Y., and Slowey, N.: Benthic foraminiferal Mg/Ca-paleothermometry: a revised core-top calibration, Geochim. Cosmochim. Acta, 66, 3375–3387, https://doi.org/10.1016/S0016-7037(02)00941-9, 2002.</w:t>
      </w:r>
    </w:p>
    <w:p w14:paraId="727A87C2" w14:textId="77777777" w:rsidR="00A60D72" w:rsidRPr="00A60D72" w:rsidRDefault="00A60D72" w:rsidP="00A60D72">
      <w:pPr>
        <w:pStyle w:val="Bibliography"/>
      </w:pPr>
      <w:r w:rsidRPr="00A60D72">
        <w:t>Lisiecki, L. E. and Raymo, M. E.: A Pliocene-Pleistocene stack of 57 globally distributed benthic δ18O records, Paleoceanography, 20, https://doi.org/10.1029/2004PA001071, 2005.</w:t>
      </w:r>
    </w:p>
    <w:p w14:paraId="61B72253" w14:textId="77777777" w:rsidR="00A60D72" w:rsidRPr="00A60D72" w:rsidRDefault="00A60D72" w:rsidP="00A60D72">
      <w:pPr>
        <w:pStyle w:val="Bibliography"/>
      </w:pPr>
      <w:r w:rsidRPr="00A60D72">
        <w:t>Shackleton, N. J., Hall, M. A., and Boersma, A.: Oxygen and carbon isotope data from Leg 74 foraminifers, in: Initial Reports of the Deep Sea Drilling Project, vol. 74, edited by: Moore, Rabinowitz, P. D., Borelly, P., Boersma, A., and Shackleton, N. J., U.S. Government Printing Office, 599–612, https://doi.org/10.2973/dsdp.proc.74.1984, 1984.</w:t>
      </w:r>
    </w:p>
    <w:p w14:paraId="49ACA5F0" w14:textId="77777777" w:rsidR="00A60D72" w:rsidRPr="00A60D72" w:rsidRDefault="00A60D72" w:rsidP="00A60D72">
      <w:pPr>
        <w:pStyle w:val="Bibliography"/>
      </w:pPr>
      <w:r w:rsidRPr="00A60D72">
        <w:t>Sosdian, S. and Rosenthal, Y.: Deep-Sea Temperature and Ice Volume Changes Across the Pliocene-Pleistocene Climate Transitions, Science, 325, 306–310, https://doi.org/10.1126/science.1169938, 2009.</w:t>
      </w:r>
    </w:p>
    <w:p w14:paraId="7F66D594" w14:textId="77777777" w:rsidR="00A60D72" w:rsidRPr="00A60D72" w:rsidRDefault="00A60D72" w:rsidP="00A60D72">
      <w:pPr>
        <w:pStyle w:val="Bibliography"/>
      </w:pPr>
      <w:r w:rsidRPr="00A60D72">
        <w:t>de la Vega, E., Chalk, T. B., Wilson, P. A., Bysani, R. P., and Foster, G. L.: Atmospheric CO2 during the Mid-Piacenzian Warm Period and the M2 glaciation, Sci. Rep., 10, 11002, https://doi.org/10.1038/s41598-020-67154-8, 2020.</w:t>
      </w:r>
    </w:p>
    <w:p w14:paraId="271C9676" w14:textId="77777777" w:rsidR="00A60D72" w:rsidRPr="00A60D72" w:rsidRDefault="00A60D72" w:rsidP="00A60D72">
      <w:pPr>
        <w:pStyle w:val="Bibliography"/>
      </w:pPr>
      <w:r w:rsidRPr="00A60D72">
        <w:t>Woodard, S. C., Rosenthal, Y., Miller, K. G., Wright, J. D., Chiu, B. K., and Lawrence, K. T.: Antarctic role in Northern Hemisphere glaciation, Science, 346, 847–851, https://doi.org/10.1126/science.1255586, 2014.</w:t>
      </w:r>
    </w:p>
    <w:p w14:paraId="5CA237A9" w14:textId="375A2288" w:rsidR="00F5258E" w:rsidRDefault="0032623E" w:rsidP="00D270DB">
      <w:pPr>
        <w:pStyle w:val="Bibliography"/>
      </w:pPr>
      <w:r>
        <w:fldChar w:fldCharType="end"/>
      </w:r>
    </w:p>
    <w:p w14:paraId="563E46CE" w14:textId="049BC17F" w:rsidR="00F5258E" w:rsidRDefault="00F5258E" w:rsidP="003D5288"/>
    <w:p w14:paraId="54E4AF6D" w14:textId="584F5242" w:rsidR="00EC76D8" w:rsidRPr="00EC76D8" w:rsidRDefault="00EC76D8" w:rsidP="00EC76D8"/>
    <w:sectPr w:rsidR="00EC76D8" w:rsidRPr="00EC76D8" w:rsidSect="00F512A5">
      <w:footerReference w:type="default" r:id="rId15"/>
      <w:pgSz w:w="11907" w:h="13608"/>
      <w:pgMar w:top="567" w:right="936" w:bottom="1338" w:left="936" w:header="0" w:footer="737" w:gutter="0"/>
      <w:lnNumType w:countBy="5" w:distance="227"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26CDB9" w14:textId="77777777" w:rsidR="00EE71E7" w:rsidRDefault="00EE71E7" w:rsidP="006D0C96">
      <w:pPr>
        <w:spacing w:line="240" w:lineRule="auto"/>
      </w:pPr>
      <w:r>
        <w:separator/>
      </w:r>
    </w:p>
  </w:endnote>
  <w:endnote w:type="continuationSeparator" w:id="0">
    <w:p w14:paraId="095F6F2C" w14:textId="77777777" w:rsidR="00EE71E7" w:rsidRDefault="00EE71E7"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67788171"/>
      <w:docPartObj>
        <w:docPartGallery w:val="Page Numbers (Bottom of Page)"/>
        <w:docPartUnique/>
      </w:docPartObj>
    </w:sdtPr>
    <w:sdtEndPr>
      <w:rPr>
        <w:noProof/>
      </w:rPr>
    </w:sdtEndPr>
    <w:sdtContent>
      <w:p w14:paraId="5576ABD1" w14:textId="77777777" w:rsidR="006D0C96" w:rsidRDefault="006D0C96">
        <w:pPr>
          <w:pStyle w:val="Footer"/>
          <w:jc w:val="center"/>
        </w:pPr>
        <w:r>
          <w:fldChar w:fldCharType="begin"/>
        </w:r>
        <w:r>
          <w:instrText xml:space="preserve"> PAGE   \* MERGEFORMAT </w:instrText>
        </w:r>
        <w:r>
          <w:fldChar w:fldCharType="separate"/>
        </w:r>
        <w:r w:rsidR="003118C8">
          <w:rPr>
            <w:noProof/>
          </w:rPr>
          <w:t>2</w:t>
        </w:r>
        <w:r>
          <w:rPr>
            <w:noProof/>
          </w:rPr>
          <w:fldChar w:fldCharType="end"/>
        </w:r>
      </w:p>
    </w:sdtContent>
  </w:sdt>
  <w:p w14:paraId="44AA5123" w14:textId="77777777" w:rsidR="006D0C96" w:rsidRDefault="006D0C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9470FC" w14:textId="77777777" w:rsidR="00EE71E7" w:rsidRDefault="00EE71E7" w:rsidP="006D0C96">
      <w:pPr>
        <w:spacing w:line="240" w:lineRule="auto"/>
      </w:pPr>
      <w:r>
        <w:separator/>
      </w:r>
    </w:p>
  </w:footnote>
  <w:footnote w:type="continuationSeparator" w:id="0">
    <w:p w14:paraId="10DCA908" w14:textId="77777777" w:rsidR="00EE71E7" w:rsidRDefault="00EE71E7" w:rsidP="006D0C9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BFD31CD"/>
    <w:multiLevelType w:val="hybridMultilevel"/>
    <w:tmpl w:val="0C3EEF82"/>
    <w:lvl w:ilvl="0" w:tplc="D1402224">
      <w:start w:val="1"/>
      <w:numFmt w:val="decimal"/>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3" w15:restartNumberingAfterBreak="0">
    <w:nsid w:val="5EA47BCE"/>
    <w:multiLevelType w:val="hybridMultilevel"/>
    <w:tmpl w:val="6F6AC5BE"/>
    <w:lvl w:ilvl="0" w:tplc="AD08950C">
      <w:start w:val="1"/>
      <w:numFmt w:val="decimal"/>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4" w15:restartNumberingAfterBreak="0">
    <w:nsid w:val="5F0D389C"/>
    <w:multiLevelType w:val="hybridMultilevel"/>
    <w:tmpl w:val="F6EA2B5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5" w15:restartNumberingAfterBreak="0">
    <w:nsid w:val="74245131"/>
    <w:multiLevelType w:val="hybridMultilevel"/>
    <w:tmpl w:val="DE9A5B2C"/>
    <w:lvl w:ilvl="0" w:tplc="3F040F8C">
      <w:start w:val="1"/>
      <w:numFmt w:val="decimal"/>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num w:numId="1" w16cid:durableId="805780240">
    <w:abstractNumId w:val="1"/>
  </w:num>
  <w:num w:numId="2" w16cid:durableId="1476216129">
    <w:abstractNumId w:val="1"/>
  </w:num>
  <w:num w:numId="3" w16cid:durableId="982927824">
    <w:abstractNumId w:val="0"/>
  </w:num>
  <w:num w:numId="4" w16cid:durableId="1964462047">
    <w:abstractNumId w:val="3"/>
  </w:num>
  <w:num w:numId="5" w16cid:durableId="716975402">
    <w:abstractNumId w:val="2"/>
  </w:num>
  <w:num w:numId="6" w16cid:durableId="297079512">
    <w:abstractNumId w:val="5"/>
  </w:num>
  <w:num w:numId="7" w16cid:durableId="126792785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attachedTemplate r:id="rId1"/>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64213"/>
    <w:rsid w:val="00001EB6"/>
    <w:rsid w:val="0000336F"/>
    <w:rsid w:val="00004817"/>
    <w:rsid w:val="00004F9A"/>
    <w:rsid w:val="00005E5D"/>
    <w:rsid w:val="000070FA"/>
    <w:rsid w:val="000075AB"/>
    <w:rsid w:val="00010586"/>
    <w:rsid w:val="00010BC9"/>
    <w:rsid w:val="00011D85"/>
    <w:rsid w:val="00013145"/>
    <w:rsid w:val="00015EBD"/>
    <w:rsid w:val="0001716F"/>
    <w:rsid w:val="00017981"/>
    <w:rsid w:val="00017C71"/>
    <w:rsid w:val="00021D32"/>
    <w:rsid w:val="00022C22"/>
    <w:rsid w:val="00023363"/>
    <w:rsid w:val="000239FF"/>
    <w:rsid w:val="000254E6"/>
    <w:rsid w:val="00026625"/>
    <w:rsid w:val="00027C96"/>
    <w:rsid w:val="00027E88"/>
    <w:rsid w:val="000316AA"/>
    <w:rsid w:val="00033CEF"/>
    <w:rsid w:val="00035397"/>
    <w:rsid w:val="00035E3F"/>
    <w:rsid w:val="00040978"/>
    <w:rsid w:val="00041A84"/>
    <w:rsid w:val="000428D8"/>
    <w:rsid w:val="00042F31"/>
    <w:rsid w:val="00044361"/>
    <w:rsid w:val="0005065D"/>
    <w:rsid w:val="00051778"/>
    <w:rsid w:val="0005368B"/>
    <w:rsid w:val="0005690A"/>
    <w:rsid w:val="00061FCB"/>
    <w:rsid w:val="000623B7"/>
    <w:rsid w:val="000638D5"/>
    <w:rsid w:val="00066753"/>
    <w:rsid w:val="00071749"/>
    <w:rsid w:val="00072E5A"/>
    <w:rsid w:val="00073745"/>
    <w:rsid w:val="00073AF6"/>
    <w:rsid w:val="00074BC4"/>
    <w:rsid w:val="00074E35"/>
    <w:rsid w:val="000756E0"/>
    <w:rsid w:val="00075F28"/>
    <w:rsid w:val="0008608B"/>
    <w:rsid w:val="0008779B"/>
    <w:rsid w:val="00087BCD"/>
    <w:rsid w:val="00087E75"/>
    <w:rsid w:val="0009349E"/>
    <w:rsid w:val="0009615F"/>
    <w:rsid w:val="000A0A5B"/>
    <w:rsid w:val="000A1B66"/>
    <w:rsid w:val="000A2118"/>
    <w:rsid w:val="000A287B"/>
    <w:rsid w:val="000A33C1"/>
    <w:rsid w:val="000A371F"/>
    <w:rsid w:val="000A38F8"/>
    <w:rsid w:val="000A5ADA"/>
    <w:rsid w:val="000B0683"/>
    <w:rsid w:val="000B17AA"/>
    <w:rsid w:val="000B3031"/>
    <w:rsid w:val="000B3169"/>
    <w:rsid w:val="000B3A00"/>
    <w:rsid w:val="000B3E09"/>
    <w:rsid w:val="000B582A"/>
    <w:rsid w:val="000B6888"/>
    <w:rsid w:val="000C2E10"/>
    <w:rsid w:val="000C2F18"/>
    <w:rsid w:val="000C3536"/>
    <w:rsid w:val="000C3720"/>
    <w:rsid w:val="000C3966"/>
    <w:rsid w:val="000C3A9F"/>
    <w:rsid w:val="000C3F5F"/>
    <w:rsid w:val="000C5DEE"/>
    <w:rsid w:val="000C7B5A"/>
    <w:rsid w:val="000D5574"/>
    <w:rsid w:val="000E035A"/>
    <w:rsid w:val="000E1BCA"/>
    <w:rsid w:val="000E1BDD"/>
    <w:rsid w:val="000E1C7C"/>
    <w:rsid w:val="000E260D"/>
    <w:rsid w:val="000E2778"/>
    <w:rsid w:val="000E2C45"/>
    <w:rsid w:val="000E574A"/>
    <w:rsid w:val="000E5B3C"/>
    <w:rsid w:val="000E6068"/>
    <w:rsid w:val="000E6861"/>
    <w:rsid w:val="000E6E13"/>
    <w:rsid w:val="000F3300"/>
    <w:rsid w:val="000F486F"/>
    <w:rsid w:val="000F4B02"/>
    <w:rsid w:val="000F51FC"/>
    <w:rsid w:val="000F5B30"/>
    <w:rsid w:val="0010181B"/>
    <w:rsid w:val="00101BB1"/>
    <w:rsid w:val="00102790"/>
    <w:rsid w:val="0010653C"/>
    <w:rsid w:val="00106EC0"/>
    <w:rsid w:val="0011019C"/>
    <w:rsid w:val="00110E14"/>
    <w:rsid w:val="00112086"/>
    <w:rsid w:val="00112DD5"/>
    <w:rsid w:val="00123E07"/>
    <w:rsid w:val="00124D92"/>
    <w:rsid w:val="00125612"/>
    <w:rsid w:val="00126233"/>
    <w:rsid w:val="00126354"/>
    <w:rsid w:val="001303F7"/>
    <w:rsid w:val="0013305D"/>
    <w:rsid w:val="00140A65"/>
    <w:rsid w:val="00141D03"/>
    <w:rsid w:val="00141DE2"/>
    <w:rsid w:val="00143750"/>
    <w:rsid w:val="0014705E"/>
    <w:rsid w:val="001536E7"/>
    <w:rsid w:val="001552C1"/>
    <w:rsid w:val="00156BA0"/>
    <w:rsid w:val="001578E3"/>
    <w:rsid w:val="00160E46"/>
    <w:rsid w:val="00162B62"/>
    <w:rsid w:val="00164FFA"/>
    <w:rsid w:val="0016557D"/>
    <w:rsid w:val="00165F14"/>
    <w:rsid w:val="00171EEE"/>
    <w:rsid w:val="0017483D"/>
    <w:rsid w:val="00182229"/>
    <w:rsid w:val="001828B3"/>
    <w:rsid w:val="00182BC5"/>
    <w:rsid w:val="00183A2A"/>
    <w:rsid w:val="00183EC7"/>
    <w:rsid w:val="00184D65"/>
    <w:rsid w:val="001851A8"/>
    <w:rsid w:val="00185206"/>
    <w:rsid w:val="00186001"/>
    <w:rsid w:val="00186634"/>
    <w:rsid w:val="001905E1"/>
    <w:rsid w:val="00190C40"/>
    <w:rsid w:val="00191892"/>
    <w:rsid w:val="00192CC7"/>
    <w:rsid w:val="00193C24"/>
    <w:rsid w:val="001953FA"/>
    <w:rsid w:val="001A065A"/>
    <w:rsid w:val="001A27FE"/>
    <w:rsid w:val="001A330F"/>
    <w:rsid w:val="001A592A"/>
    <w:rsid w:val="001A730D"/>
    <w:rsid w:val="001A78C5"/>
    <w:rsid w:val="001B146B"/>
    <w:rsid w:val="001B2F3A"/>
    <w:rsid w:val="001B30D5"/>
    <w:rsid w:val="001B586D"/>
    <w:rsid w:val="001B5DB9"/>
    <w:rsid w:val="001C0C71"/>
    <w:rsid w:val="001C14A0"/>
    <w:rsid w:val="001C15AD"/>
    <w:rsid w:val="001C29B5"/>
    <w:rsid w:val="001C4228"/>
    <w:rsid w:val="001C5EB9"/>
    <w:rsid w:val="001C79A0"/>
    <w:rsid w:val="001D75DA"/>
    <w:rsid w:val="001E2CA7"/>
    <w:rsid w:val="001E526E"/>
    <w:rsid w:val="001E6A25"/>
    <w:rsid w:val="001F18A6"/>
    <w:rsid w:val="001F3363"/>
    <w:rsid w:val="001F745F"/>
    <w:rsid w:val="00200F9E"/>
    <w:rsid w:val="00203F92"/>
    <w:rsid w:val="0020577C"/>
    <w:rsid w:val="00206FAA"/>
    <w:rsid w:val="002076E7"/>
    <w:rsid w:val="0020780F"/>
    <w:rsid w:val="00214A4E"/>
    <w:rsid w:val="002175E2"/>
    <w:rsid w:val="002211BD"/>
    <w:rsid w:val="00227374"/>
    <w:rsid w:val="00230230"/>
    <w:rsid w:val="00233F44"/>
    <w:rsid w:val="0023476B"/>
    <w:rsid w:val="00234A4F"/>
    <w:rsid w:val="00234CC4"/>
    <w:rsid w:val="00236175"/>
    <w:rsid w:val="00237B34"/>
    <w:rsid w:val="00240683"/>
    <w:rsid w:val="00243494"/>
    <w:rsid w:val="0024557A"/>
    <w:rsid w:val="00246318"/>
    <w:rsid w:val="00250827"/>
    <w:rsid w:val="00251A3B"/>
    <w:rsid w:val="002551C2"/>
    <w:rsid w:val="0025565E"/>
    <w:rsid w:val="00255A5F"/>
    <w:rsid w:val="00256891"/>
    <w:rsid w:val="00256BF6"/>
    <w:rsid w:val="002579F3"/>
    <w:rsid w:val="00257AD5"/>
    <w:rsid w:val="00260999"/>
    <w:rsid w:val="00260F79"/>
    <w:rsid w:val="002614CA"/>
    <w:rsid w:val="00262DD3"/>
    <w:rsid w:val="002675B1"/>
    <w:rsid w:val="00272449"/>
    <w:rsid w:val="0027520D"/>
    <w:rsid w:val="002757FD"/>
    <w:rsid w:val="0027604C"/>
    <w:rsid w:val="00276515"/>
    <w:rsid w:val="00276598"/>
    <w:rsid w:val="00280ACF"/>
    <w:rsid w:val="0028112E"/>
    <w:rsid w:val="002831C9"/>
    <w:rsid w:val="00287BAF"/>
    <w:rsid w:val="002A4266"/>
    <w:rsid w:val="002A72AF"/>
    <w:rsid w:val="002B0072"/>
    <w:rsid w:val="002B0508"/>
    <w:rsid w:val="002B38EF"/>
    <w:rsid w:val="002B6669"/>
    <w:rsid w:val="002B6B24"/>
    <w:rsid w:val="002B7A26"/>
    <w:rsid w:val="002C1390"/>
    <w:rsid w:val="002C1FCA"/>
    <w:rsid w:val="002C4082"/>
    <w:rsid w:val="002C43CF"/>
    <w:rsid w:val="002C5724"/>
    <w:rsid w:val="002C59F1"/>
    <w:rsid w:val="002C7ADB"/>
    <w:rsid w:val="002D40BC"/>
    <w:rsid w:val="002D7ECA"/>
    <w:rsid w:val="002E04CE"/>
    <w:rsid w:val="002E21D6"/>
    <w:rsid w:val="002E2F93"/>
    <w:rsid w:val="002E3958"/>
    <w:rsid w:val="002E6332"/>
    <w:rsid w:val="002E6AAF"/>
    <w:rsid w:val="002E6C4C"/>
    <w:rsid w:val="002F1BBB"/>
    <w:rsid w:val="002F4295"/>
    <w:rsid w:val="002F5222"/>
    <w:rsid w:val="002F53DF"/>
    <w:rsid w:val="00300F56"/>
    <w:rsid w:val="003018F9"/>
    <w:rsid w:val="0030285D"/>
    <w:rsid w:val="003037A1"/>
    <w:rsid w:val="00304749"/>
    <w:rsid w:val="0030622B"/>
    <w:rsid w:val="00306EA6"/>
    <w:rsid w:val="0030719D"/>
    <w:rsid w:val="003118C8"/>
    <w:rsid w:val="003128FF"/>
    <w:rsid w:val="0031312D"/>
    <w:rsid w:val="00313A29"/>
    <w:rsid w:val="00313A40"/>
    <w:rsid w:val="0031563D"/>
    <w:rsid w:val="00315B16"/>
    <w:rsid w:val="00315F76"/>
    <w:rsid w:val="00317FA0"/>
    <w:rsid w:val="003218D4"/>
    <w:rsid w:val="003228AA"/>
    <w:rsid w:val="003244B3"/>
    <w:rsid w:val="003254D6"/>
    <w:rsid w:val="00325D18"/>
    <w:rsid w:val="0032623E"/>
    <w:rsid w:val="00326977"/>
    <w:rsid w:val="0033187F"/>
    <w:rsid w:val="00332882"/>
    <w:rsid w:val="0033353C"/>
    <w:rsid w:val="00333D2D"/>
    <w:rsid w:val="003340F3"/>
    <w:rsid w:val="003354D5"/>
    <w:rsid w:val="00341C5D"/>
    <w:rsid w:val="003420F9"/>
    <w:rsid w:val="003431D3"/>
    <w:rsid w:val="00344BC0"/>
    <w:rsid w:val="003504DF"/>
    <w:rsid w:val="003519CA"/>
    <w:rsid w:val="00351D16"/>
    <w:rsid w:val="00352098"/>
    <w:rsid w:val="00352677"/>
    <w:rsid w:val="003526E0"/>
    <w:rsid w:val="00355671"/>
    <w:rsid w:val="0035602F"/>
    <w:rsid w:val="003564A5"/>
    <w:rsid w:val="00356E46"/>
    <w:rsid w:val="00357338"/>
    <w:rsid w:val="003578A2"/>
    <w:rsid w:val="00357ACD"/>
    <w:rsid w:val="00357FF4"/>
    <w:rsid w:val="00361A4B"/>
    <w:rsid w:val="003623DF"/>
    <w:rsid w:val="00362572"/>
    <w:rsid w:val="0036270B"/>
    <w:rsid w:val="003630DA"/>
    <w:rsid w:val="00370069"/>
    <w:rsid w:val="00370C85"/>
    <w:rsid w:val="00372E09"/>
    <w:rsid w:val="003732A7"/>
    <w:rsid w:val="0037462C"/>
    <w:rsid w:val="003749AD"/>
    <w:rsid w:val="00375085"/>
    <w:rsid w:val="003758ED"/>
    <w:rsid w:val="00377DB7"/>
    <w:rsid w:val="0038108A"/>
    <w:rsid w:val="00381268"/>
    <w:rsid w:val="0038130C"/>
    <w:rsid w:val="003826CC"/>
    <w:rsid w:val="003831B6"/>
    <w:rsid w:val="00383927"/>
    <w:rsid w:val="00387BD9"/>
    <w:rsid w:val="00390514"/>
    <w:rsid w:val="00391C4D"/>
    <w:rsid w:val="003954F7"/>
    <w:rsid w:val="0039624C"/>
    <w:rsid w:val="0039662F"/>
    <w:rsid w:val="00396F7D"/>
    <w:rsid w:val="003971C2"/>
    <w:rsid w:val="003A2882"/>
    <w:rsid w:val="003A40D8"/>
    <w:rsid w:val="003A435B"/>
    <w:rsid w:val="003A4FB4"/>
    <w:rsid w:val="003B53F7"/>
    <w:rsid w:val="003B5E4C"/>
    <w:rsid w:val="003B6E5B"/>
    <w:rsid w:val="003C19E0"/>
    <w:rsid w:val="003C2605"/>
    <w:rsid w:val="003C2DF0"/>
    <w:rsid w:val="003C4128"/>
    <w:rsid w:val="003C4699"/>
    <w:rsid w:val="003C5BA4"/>
    <w:rsid w:val="003C659C"/>
    <w:rsid w:val="003C66D3"/>
    <w:rsid w:val="003C72B0"/>
    <w:rsid w:val="003D0134"/>
    <w:rsid w:val="003D0C79"/>
    <w:rsid w:val="003D1386"/>
    <w:rsid w:val="003D16A4"/>
    <w:rsid w:val="003D42EF"/>
    <w:rsid w:val="003D4F4A"/>
    <w:rsid w:val="003D5288"/>
    <w:rsid w:val="003E285D"/>
    <w:rsid w:val="003E2F0E"/>
    <w:rsid w:val="003E4DE6"/>
    <w:rsid w:val="003E5204"/>
    <w:rsid w:val="003E7FC4"/>
    <w:rsid w:val="003F2BBE"/>
    <w:rsid w:val="003F2E3E"/>
    <w:rsid w:val="003F3C98"/>
    <w:rsid w:val="003F77BB"/>
    <w:rsid w:val="00401B6E"/>
    <w:rsid w:val="004044FA"/>
    <w:rsid w:val="00404C84"/>
    <w:rsid w:val="00412549"/>
    <w:rsid w:val="00412A48"/>
    <w:rsid w:val="00412B0C"/>
    <w:rsid w:val="00414224"/>
    <w:rsid w:val="00414281"/>
    <w:rsid w:val="0041660A"/>
    <w:rsid w:val="00416C7D"/>
    <w:rsid w:val="00417313"/>
    <w:rsid w:val="0042490B"/>
    <w:rsid w:val="00425004"/>
    <w:rsid w:val="00425681"/>
    <w:rsid w:val="004265AE"/>
    <w:rsid w:val="00427470"/>
    <w:rsid w:val="00434E94"/>
    <w:rsid w:val="004351A3"/>
    <w:rsid w:val="004357B4"/>
    <w:rsid w:val="00441753"/>
    <w:rsid w:val="00443EA2"/>
    <w:rsid w:val="00445FA2"/>
    <w:rsid w:val="00446016"/>
    <w:rsid w:val="00446021"/>
    <w:rsid w:val="00450DB9"/>
    <w:rsid w:val="00452563"/>
    <w:rsid w:val="00452886"/>
    <w:rsid w:val="0045333A"/>
    <w:rsid w:val="00453C9E"/>
    <w:rsid w:val="00455C0A"/>
    <w:rsid w:val="0045606F"/>
    <w:rsid w:val="00460C1B"/>
    <w:rsid w:val="004612FF"/>
    <w:rsid w:val="00462037"/>
    <w:rsid w:val="0046346B"/>
    <w:rsid w:val="00463568"/>
    <w:rsid w:val="00463992"/>
    <w:rsid w:val="004650B5"/>
    <w:rsid w:val="00467C6E"/>
    <w:rsid w:val="0047194D"/>
    <w:rsid w:val="00472E79"/>
    <w:rsid w:val="00472FB5"/>
    <w:rsid w:val="00474724"/>
    <w:rsid w:val="00474DC6"/>
    <w:rsid w:val="004750BF"/>
    <w:rsid w:val="00476237"/>
    <w:rsid w:val="00476F47"/>
    <w:rsid w:val="00480C88"/>
    <w:rsid w:val="00481017"/>
    <w:rsid w:val="00482FD7"/>
    <w:rsid w:val="00483EEB"/>
    <w:rsid w:val="00487ADE"/>
    <w:rsid w:val="00490A3A"/>
    <w:rsid w:val="004926AC"/>
    <w:rsid w:val="00493A7A"/>
    <w:rsid w:val="00494ADB"/>
    <w:rsid w:val="00496FAB"/>
    <w:rsid w:val="00497215"/>
    <w:rsid w:val="004975FF"/>
    <w:rsid w:val="004A1F96"/>
    <w:rsid w:val="004A25AA"/>
    <w:rsid w:val="004A3652"/>
    <w:rsid w:val="004A5C16"/>
    <w:rsid w:val="004B0341"/>
    <w:rsid w:val="004B1E57"/>
    <w:rsid w:val="004B3574"/>
    <w:rsid w:val="004B49ED"/>
    <w:rsid w:val="004B5BFC"/>
    <w:rsid w:val="004B6848"/>
    <w:rsid w:val="004B6B0A"/>
    <w:rsid w:val="004B6E55"/>
    <w:rsid w:val="004B7AD4"/>
    <w:rsid w:val="004C007B"/>
    <w:rsid w:val="004C02A4"/>
    <w:rsid w:val="004C1EA1"/>
    <w:rsid w:val="004C3C2F"/>
    <w:rsid w:val="004C519E"/>
    <w:rsid w:val="004C587C"/>
    <w:rsid w:val="004C6599"/>
    <w:rsid w:val="004D066F"/>
    <w:rsid w:val="004D0DE8"/>
    <w:rsid w:val="004D0F1A"/>
    <w:rsid w:val="004D1322"/>
    <w:rsid w:val="004D1D72"/>
    <w:rsid w:val="004D30BB"/>
    <w:rsid w:val="004D348A"/>
    <w:rsid w:val="004D3575"/>
    <w:rsid w:val="004D3E64"/>
    <w:rsid w:val="004D50B7"/>
    <w:rsid w:val="004D51C7"/>
    <w:rsid w:val="004E1276"/>
    <w:rsid w:val="004E187F"/>
    <w:rsid w:val="004E4948"/>
    <w:rsid w:val="004E7FC8"/>
    <w:rsid w:val="004F1990"/>
    <w:rsid w:val="004F2AF9"/>
    <w:rsid w:val="004F36CF"/>
    <w:rsid w:val="004F482D"/>
    <w:rsid w:val="004F50EF"/>
    <w:rsid w:val="004F66BE"/>
    <w:rsid w:val="004F6D7A"/>
    <w:rsid w:val="004F7626"/>
    <w:rsid w:val="004F788A"/>
    <w:rsid w:val="00500C7F"/>
    <w:rsid w:val="00502E97"/>
    <w:rsid w:val="00505DF5"/>
    <w:rsid w:val="00506F0D"/>
    <w:rsid w:val="00507085"/>
    <w:rsid w:val="0051300B"/>
    <w:rsid w:val="00513496"/>
    <w:rsid w:val="00514CF6"/>
    <w:rsid w:val="00516068"/>
    <w:rsid w:val="0051657B"/>
    <w:rsid w:val="00520073"/>
    <w:rsid w:val="0052023B"/>
    <w:rsid w:val="00522CFA"/>
    <w:rsid w:val="00525659"/>
    <w:rsid w:val="0053026E"/>
    <w:rsid w:val="00530279"/>
    <w:rsid w:val="0053028F"/>
    <w:rsid w:val="00531DE7"/>
    <w:rsid w:val="0053250D"/>
    <w:rsid w:val="00532F8F"/>
    <w:rsid w:val="0053466C"/>
    <w:rsid w:val="00535856"/>
    <w:rsid w:val="00535940"/>
    <w:rsid w:val="00536524"/>
    <w:rsid w:val="00536866"/>
    <w:rsid w:val="005376E2"/>
    <w:rsid w:val="00541B57"/>
    <w:rsid w:val="00542A82"/>
    <w:rsid w:val="00543FBF"/>
    <w:rsid w:val="005458C2"/>
    <w:rsid w:val="00550E14"/>
    <w:rsid w:val="0055217B"/>
    <w:rsid w:val="005523B7"/>
    <w:rsid w:val="00552B8F"/>
    <w:rsid w:val="00553B76"/>
    <w:rsid w:val="00555FBF"/>
    <w:rsid w:val="00563E19"/>
    <w:rsid w:val="005641AF"/>
    <w:rsid w:val="00564213"/>
    <w:rsid w:val="0056596B"/>
    <w:rsid w:val="00565E55"/>
    <w:rsid w:val="0056768E"/>
    <w:rsid w:val="00567C76"/>
    <w:rsid w:val="00571509"/>
    <w:rsid w:val="00571CAC"/>
    <w:rsid w:val="005723F9"/>
    <w:rsid w:val="00575597"/>
    <w:rsid w:val="005755DD"/>
    <w:rsid w:val="00576009"/>
    <w:rsid w:val="00576A21"/>
    <w:rsid w:val="0058343F"/>
    <w:rsid w:val="00585126"/>
    <w:rsid w:val="00590BDE"/>
    <w:rsid w:val="00592776"/>
    <w:rsid w:val="00597034"/>
    <w:rsid w:val="00597903"/>
    <w:rsid w:val="005A10D8"/>
    <w:rsid w:val="005A192D"/>
    <w:rsid w:val="005A3EE1"/>
    <w:rsid w:val="005A3F60"/>
    <w:rsid w:val="005A4F32"/>
    <w:rsid w:val="005A58EB"/>
    <w:rsid w:val="005A59C9"/>
    <w:rsid w:val="005A671A"/>
    <w:rsid w:val="005A685B"/>
    <w:rsid w:val="005B2430"/>
    <w:rsid w:val="005B3F07"/>
    <w:rsid w:val="005C0EB5"/>
    <w:rsid w:val="005C0EE3"/>
    <w:rsid w:val="005C20C5"/>
    <w:rsid w:val="005C21C4"/>
    <w:rsid w:val="005C362E"/>
    <w:rsid w:val="005C371E"/>
    <w:rsid w:val="005C68D4"/>
    <w:rsid w:val="005D0EA4"/>
    <w:rsid w:val="005D1891"/>
    <w:rsid w:val="005D4DA3"/>
    <w:rsid w:val="005D5678"/>
    <w:rsid w:val="005D5745"/>
    <w:rsid w:val="005D5B79"/>
    <w:rsid w:val="005D6DC6"/>
    <w:rsid w:val="005E02D1"/>
    <w:rsid w:val="005E4260"/>
    <w:rsid w:val="005E4A49"/>
    <w:rsid w:val="005E5FC1"/>
    <w:rsid w:val="005E631E"/>
    <w:rsid w:val="005E6A17"/>
    <w:rsid w:val="005E6EED"/>
    <w:rsid w:val="005F029C"/>
    <w:rsid w:val="005F0334"/>
    <w:rsid w:val="005F0E7E"/>
    <w:rsid w:val="005F14B9"/>
    <w:rsid w:val="005F15C8"/>
    <w:rsid w:val="005F4A68"/>
    <w:rsid w:val="005F574F"/>
    <w:rsid w:val="005F5931"/>
    <w:rsid w:val="005F5FFE"/>
    <w:rsid w:val="005F6383"/>
    <w:rsid w:val="005F74AF"/>
    <w:rsid w:val="00601AE5"/>
    <w:rsid w:val="006035E8"/>
    <w:rsid w:val="006040B3"/>
    <w:rsid w:val="00607FB5"/>
    <w:rsid w:val="006100C6"/>
    <w:rsid w:val="00613A85"/>
    <w:rsid w:val="00615C9D"/>
    <w:rsid w:val="0061623B"/>
    <w:rsid w:val="006164E2"/>
    <w:rsid w:val="00616CF2"/>
    <w:rsid w:val="0061711D"/>
    <w:rsid w:val="00622B42"/>
    <w:rsid w:val="00622CDC"/>
    <w:rsid w:val="006247B3"/>
    <w:rsid w:val="00625F7C"/>
    <w:rsid w:val="00626B09"/>
    <w:rsid w:val="00630C7A"/>
    <w:rsid w:val="006326D7"/>
    <w:rsid w:val="0063271A"/>
    <w:rsid w:val="00635EFC"/>
    <w:rsid w:val="00637180"/>
    <w:rsid w:val="00637F6E"/>
    <w:rsid w:val="006407A2"/>
    <w:rsid w:val="006411E4"/>
    <w:rsid w:val="0064152E"/>
    <w:rsid w:val="00644417"/>
    <w:rsid w:val="00647571"/>
    <w:rsid w:val="00650508"/>
    <w:rsid w:val="0065062F"/>
    <w:rsid w:val="00653B07"/>
    <w:rsid w:val="00654EB1"/>
    <w:rsid w:val="006556EE"/>
    <w:rsid w:val="00655C67"/>
    <w:rsid w:val="00655EA6"/>
    <w:rsid w:val="00660F50"/>
    <w:rsid w:val="006622C7"/>
    <w:rsid w:val="006641C9"/>
    <w:rsid w:val="00665AE8"/>
    <w:rsid w:val="00667747"/>
    <w:rsid w:val="00670F05"/>
    <w:rsid w:val="0067169E"/>
    <w:rsid w:val="00673238"/>
    <w:rsid w:val="00674ABA"/>
    <w:rsid w:val="00675D13"/>
    <w:rsid w:val="006763E8"/>
    <w:rsid w:val="0068018D"/>
    <w:rsid w:val="00682B7D"/>
    <w:rsid w:val="00687FB6"/>
    <w:rsid w:val="006914C5"/>
    <w:rsid w:val="00691FC8"/>
    <w:rsid w:val="00692231"/>
    <w:rsid w:val="006943D3"/>
    <w:rsid w:val="006962D7"/>
    <w:rsid w:val="00696D00"/>
    <w:rsid w:val="0069722E"/>
    <w:rsid w:val="006A1278"/>
    <w:rsid w:val="006A14A1"/>
    <w:rsid w:val="006A3055"/>
    <w:rsid w:val="006A5FA0"/>
    <w:rsid w:val="006A736F"/>
    <w:rsid w:val="006B31BC"/>
    <w:rsid w:val="006B3518"/>
    <w:rsid w:val="006B3E85"/>
    <w:rsid w:val="006B59CD"/>
    <w:rsid w:val="006B5DD8"/>
    <w:rsid w:val="006C0663"/>
    <w:rsid w:val="006C08CD"/>
    <w:rsid w:val="006C1220"/>
    <w:rsid w:val="006C2EF3"/>
    <w:rsid w:val="006C49AB"/>
    <w:rsid w:val="006C5498"/>
    <w:rsid w:val="006C63FD"/>
    <w:rsid w:val="006C7790"/>
    <w:rsid w:val="006C7AB2"/>
    <w:rsid w:val="006D0C96"/>
    <w:rsid w:val="006D1E83"/>
    <w:rsid w:val="006D24B5"/>
    <w:rsid w:val="006D2F23"/>
    <w:rsid w:val="006D3B4F"/>
    <w:rsid w:val="006D3B74"/>
    <w:rsid w:val="006D449B"/>
    <w:rsid w:val="006D5341"/>
    <w:rsid w:val="006E1064"/>
    <w:rsid w:val="006E3421"/>
    <w:rsid w:val="006E4765"/>
    <w:rsid w:val="006E4BAF"/>
    <w:rsid w:val="006E4D15"/>
    <w:rsid w:val="006E52DE"/>
    <w:rsid w:val="006F14BF"/>
    <w:rsid w:val="006F1600"/>
    <w:rsid w:val="006F26A8"/>
    <w:rsid w:val="00700CFD"/>
    <w:rsid w:val="00703730"/>
    <w:rsid w:val="0070537F"/>
    <w:rsid w:val="00710DFC"/>
    <w:rsid w:val="00713ADD"/>
    <w:rsid w:val="00714C78"/>
    <w:rsid w:val="0071773C"/>
    <w:rsid w:val="00717A75"/>
    <w:rsid w:val="007225D8"/>
    <w:rsid w:val="00723599"/>
    <w:rsid w:val="00725184"/>
    <w:rsid w:val="00725269"/>
    <w:rsid w:val="00725C56"/>
    <w:rsid w:val="00727A6E"/>
    <w:rsid w:val="00730057"/>
    <w:rsid w:val="00733CBB"/>
    <w:rsid w:val="00734DD6"/>
    <w:rsid w:val="00735A80"/>
    <w:rsid w:val="007363F6"/>
    <w:rsid w:val="0073671C"/>
    <w:rsid w:val="0074015E"/>
    <w:rsid w:val="00740673"/>
    <w:rsid w:val="00741267"/>
    <w:rsid w:val="0074423D"/>
    <w:rsid w:val="007448FD"/>
    <w:rsid w:val="00745316"/>
    <w:rsid w:val="00751A44"/>
    <w:rsid w:val="007542D9"/>
    <w:rsid w:val="00754598"/>
    <w:rsid w:val="00754BCC"/>
    <w:rsid w:val="00757F65"/>
    <w:rsid w:val="00760218"/>
    <w:rsid w:val="00761F6C"/>
    <w:rsid w:val="007638BE"/>
    <w:rsid w:val="0076595C"/>
    <w:rsid w:val="00765E53"/>
    <w:rsid w:val="00767FCB"/>
    <w:rsid w:val="00771D85"/>
    <w:rsid w:val="00771D88"/>
    <w:rsid w:val="00773292"/>
    <w:rsid w:val="007735D2"/>
    <w:rsid w:val="00773679"/>
    <w:rsid w:val="00777E7B"/>
    <w:rsid w:val="0078008E"/>
    <w:rsid w:val="00782FC6"/>
    <w:rsid w:val="00783092"/>
    <w:rsid w:val="00783138"/>
    <w:rsid w:val="007837EC"/>
    <w:rsid w:val="00783980"/>
    <w:rsid w:val="00783B6A"/>
    <w:rsid w:val="00784EC7"/>
    <w:rsid w:val="007851F1"/>
    <w:rsid w:val="00786E80"/>
    <w:rsid w:val="00791677"/>
    <w:rsid w:val="00791FF2"/>
    <w:rsid w:val="00792601"/>
    <w:rsid w:val="007931EC"/>
    <w:rsid w:val="00793D66"/>
    <w:rsid w:val="0079482E"/>
    <w:rsid w:val="00795434"/>
    <w:rsid w:val="007954D8"/>
    <w:rsid w:val="00796A7F"/>
    <w:rsid w:val="00797D9E"/>
    <w:rsid w:val="007A265C"/>
    <w:rsid w:val="007A2EC2"/>
    <w:rsid w:val="007A42F2"/>
    <w:rsid w:val="007A4B1E"/>
    <w:rsid w:val="007A7125"/>
    <w:rsid w:val="007A721C"/>
    <w:rsid w:val="007A78D2"/>
    <w:rsid w:val="007B0ADC"/>
    <w:rsid w:val="007B15C8"/>
    <w:rsid w:val="007B5A39"/>
    <w:rsid w:val="007B6D1F"/>
    <w:rsid w:val="007B78F4"/>
    <w:rsid w:val="007C0449"/>
    <w:rsid w:val="007C0822"/>
    <w:rsid w:val="007C12A9"/>
    <w:rsid w:val="007C1908"/>
    <w:rsid w:val="007C2C3F"/>
    <w:rsid w:val="007D1D82"/>
    <w:rsid w:val="007D23D3"/>
    <w:rsid w:val="007D33D7"/>
    <w:rsid w:val="007D50D2"/>
    <w:rsid w:val="007D751F"/>
    <w:rsid w:val="007D7D24"/>
    <w:rsid w:val="007E120A"/>
    <w:rsid w:val="007E28A5"/>
    <w:rsid w:val="007E34F3"/>
    <w:rsid w:val="007E35E3"/>
    <w:rsid w:val="007E7882"/>
    <w:rsid w:val="007F1B11"/>
    <w:rsid w:val="007F23E4"/>
    <w:rsid w:val="007F34DC"/>
    <w:rsid w:val="007F6141"/>
    <w:rsid w:val="007F667A"/>
    <w:rsid w:val="007F77C6"/>
    <w:rsid w:val="00802D6C"/>
    <w:rsid w:val="00803640"/>
    <w:rsid w:val="008043EE"/>
    <w:rsid w:val="00804FA5"/>
    <w:rsid w:val="0080786D"/>
    <w:rsid w:val="00807C5F"/>
    <w:rsid w:val="0081015F"/>
    <w:rsid w:val="00813478"/>
    <w:rsid w:val="00815259"/>
    <w:rsid w:val="008160AA"/>
    <w:rsid w:val="00820F20"/>
    <w:rsid w:val="00821414"/>
    <w:rsid w:val="00821491"/>
    <w:rsid w:val="008245B2"/>
    <w:rsid w:val="00824603"/>
    <w:rsid w:val="008247BF"/>
    <w:rsid w:val="00824E72"/>
    <w:rsid w:val="008259C8"/>
    <w:rsid w:val="00827604"/>
    <w:rsid w:val="00827811"/>
    <w:rsid w:val="0082781F"/>
    <w:rsid w:val="00832939"/>
    <w:rsid w:val="00837A4A"/>
    <w:rsid w:val="00843471"/>
    <w:rsid w:val="0084637A"/>
    <w:rsid w:val="008529F7"/>
    <w:rsid w:val="008539CB"/>
    <w:rsid w:val="00853B36"/>
    <w:rsid w:val="00855006"/>
    <w:rsid w:val="00855E22"/>
    <w:rsid w:val="00856DE9"/>
    <w:rsid w:val="00860555"/>
    <w:rsid w:val="00862404"/>
    <w:rsid w:val="008624BB"/>
    <w:rsid w:val="00864224"/>
    <w:rsid w:val="008662B7"/>
    <w:rsid w:val="0086657F"/>
    <w:rsid w:val="00866F01"/>
    <w:rsid w:val="0087224E"/>
    <w:rsid w:val="00876AAC"/>
    <w:rsid w:val="008777C0"/>
    <w:rsid w:val="008809E3"/>
    <w:rsid w:val="00881C41"/>
    <w:rsid w:val="00882C0C"/>
    <w:rsid w:val="00883B36"/>
    <w:rsid w:val="00883FBD"/>
    <w:rsid w:val="00884B5A"/>
    <w:rsid w:val="00885D73"/>
    <w:rsid w:val="00890EC5"/>
    <w:rsid w:val="00892E62"/>
    <w:rsid w:val="00894DD2"/>
    <w:rsid w:val="00895B2A"/>
    <w:rsid w:val="00895DDF"/>
    <w:rsid w:val="00896CE2"/>
    <w:rsid w:val="008A5606"/>
    <w:rsid w:val="008A5F44"/>
    <w:rsid w:val="008A624D"/>
    <w:rsid w:val="008B09FD"/>
    <w:rsid w:val="008B1BB2"/>
    <w:rsid w:val="008B2147"/>
    <w:rsid w:val="008B239A"/>
    <w:rsid w:val="008B2BCE"/>
    <w:rsid w:val="008B31C3"/>
    <w:rsid w:val="008B6B3D"/>
    <w:rsid w:val="008B719F"/>
    <w:rsid w:val="008C0BB7"/>
    <w:rsid w:val="008C212D"/>
    <w:rsid w:val="008C34DB"/>
    <w:rsid w:val="008C48F7"/>
    <w:rsid w:val="008C49EE"/>
    <w:rsid w:val="008C577C"/>
    <w:rsid w:val="008C68B9"/>
    <w:rsid w:val="008C6AF9"/>
    <w:rsid w:val="008D065A"/>
    <w:rsid w:val="008D2290"/>
    <w:rsid w:val="008D2B1C"/>
    <w:rsid w:val="008D3613"/>
    <w:rsid w:val="008D3906"/>
    <w:rsid w:val="008D575F"/>
    <w:rsid w:val="008D61D9"/>
    <w:rsid w:val="008D62B6"/>
    <w:rsid w:val="008D6406"/>
    <w:rsid w:val="008D690C"/>
    <w:rsid w:val="008D6BCF"/>
    <w:rsid w:val="008D742C"/>
    <w:rsid w:val="008D7A49"/>
    <w:rsid w:val="008E0D81"/>
    <w:rsid w:val="008E213F"/>
    <w:rsid w:val="008E3110"/>
    <w:rsid w:val="008E530C"/>
    <w:rsid w:val="008E61AB"/>
    <w:rsid w:val="008E7001"/>
    <w:rsid w:val="008E7091"/>
    <w:rsid w:val="008F05BA"/>
    <w:rsid w:val="008F08B1"/>
    <w:rsid w:val="008F37C8"/>
    <w:rsid w:val="008F3D7D"/>
    <w:rsid w:val="008F4882"/>
    <w:rsid w:val="008F4E89"/>
    <w:rsid w:val="008F5C78"/>
    <w:rsid w:val="008F7DC1"/>
    <w:rsid w:val="00900E6B"/>
    <w:rsid w:val="0090198C"/>
    <w:rsid w:val="00902239"/>
    <w:rsid w:val="0090245F"/>
    <w:rsid w:val="0090492F"/>
    <w:rsid w:val="009049E9"/>
    <w:rsid w:val="00907227"/>
    <w:rsid w:val="00910483"/>
    <w:rsid w:val="00912EEE"/>
    <w:rsid w:val="009150E4"/>
    <w:rsid w:val="0091591D"/>
    <w:rsid w:val="00915BF7"/>
    <w:rsid w:val="0091791F"/>
    <w:rsid w:val="009215DE"/>
    <w:rsid w:val="00921B49"/>
    <w:rsid w:val="009228B9"/>
    <w:rsid w:val="009230D4"/>
    <w:rsid w:val="00924FBA"/>
    <w:rsid w:val="00926F86"/>
    <w:rsid w:val="00932F15"/>
    <w:rsid w:val="009332AA"/>
    <w:rsid w:val="00933985"/>
    <w:rsid w:val="00937170"/>
    <w:rsid w:val="00937AF7"/>
    <w:rsid w:val="00941CEA"/>
    <w:rsid w:val="00943440"/>
    <w:rsid w:val="00943A82"/>
    <w:rsid w:val="00950F9A"/>
    <w:rsid w:val="00951F9A"/>
    <w:rsid w:val="00955834"/>
    <w:rsid w:val="00957650"/>
    <w:rsid w:val="00957D13"/>
    <w:rsid w:val="009638B3"/>
    <w:rsid w:val="009650CF"/>
    <w:rsid w:val="00965AEA"/>
    <w:rsid w:val="00970080"/>
    <w:rsid w:val="009710A6"/>
    <w:rsid w:val="00977120"/>
    <w:rsid w:val="009806A1"/>
    <w:rsid w:val="00984295"/>
    <w:rsid w:val="0098447C"/>
    <w:rsid w:val="009853A9"/>
    <w:rsid w:val="0098792A"/>
    <w:rsid w:val="009901FE"/>
    <w:rsid w:val="009904AA"/>
    <w:rsid w:val="009918C7"/>
    <w:rsid w:val="00993396"/>
    <w:rsid w:val="009934FB"/>
    <w:rsid w:val="00993A26"/>
    <w:rsid w:val="00994C19"/>
    <w:rsid w:val="009964A5"/>
    <w:rsid w:val="00997427"/>
    <w:rsid w:val="009A1055"/>
    <w:rsid w:val="009A11C9"/>
    <w:rsid w:val="009A3BB6"/>
    <w:rsid w:val="009A7767"/>
    <w:rsid w:val="009B2D09"/>
    <w:rsid w:val="009B3CA5"/>
    <w:rsid w:val="009B4420"/>
    <w:rsid w:val="009B4923"/>
    <w:rsid w:val="009B5D0D"/>
    <w:rsid w:val="009C18C6"/>
    <w:rsid w:val="009C55FE"/>
    <w:rsid w:val="009C73B3"/>
    <w:rsid w:val="009D1716"/>
    <w:rsid w:val="009D21B9"/>
    <w:rsid w:val="009D38E2"/>
    <w:rsid w:val="009D3A78"/>
    <w:rsid w:val="009D426C"/>
    <w:rsid w:val="009D4616"/>
    <w:rsid w:val="009D46F0"/>
    <w:rsid w:val="009D72FC"/>
    <w:rsid w:val="009E0DAA"/>
    <w:rsid w:val="009E2026"/>
    <w:rsid w:val="009E29A1"/>
    <w:rsid w:val="009E3BF6"/>
    <w:rsid w:val="009E7910"/>
    <w:rsid w:val="009E7EB0"/>
    <w:rsid w:val="009F09AC"/>
    <w:rsid w:val="009F2AF3"/>
    <w:rsid w:val="009F2C0A"/>
    <w:rsid w:val="009F391E"/>
    <w:rsid w:val="009F6929"/>
    <w:rsid w:val="009F6960"/>
    <w:rsid w:val="009F733B"/>
    <w:rsid w:val="00A0016A"/>
    <w:rsid w:val="00A0170F"/>
    <w:rsid w:val="00A01820"/>
    <w:rsid w:val="00A03CC9"/>
    <w:rsid w:val="00A10144"/>
    <w:rsid w:val="00A114E2"/>
    <w:rsid w:val="00A11E21"/>
    <w:rsid w:val="00A1395C"/>
    <w:rsid w:val="00A14141"/>
    <w:rsid w:val="00A16BFF"/>
    <w:rsid w:val="00A17EED"/>
    <w:rsid w:val="00A21DDD"/>
    <w:rsid w:val="00A24150"/>
    <w:rsid w:val="00A27B8D"/>
    <w:rsid w:val="00A31A3E"/>
    <w:rsid w:val="00A339E4"/>
    <w:rsid w:val="00A33BEE"/>
    <w:rsid w:val="00A35AC7"/>
    <w:rsid w:val="00A36685"/>
    <w:rsid w:val="00A36737"/>
    <w:rsid w:val="00A4261C"/>
    <w:rsid w:val="00A428CB"/>
    <w:rsid w:val="00A43D62"/>
    <w:rsid w:val="00A44026"/>
    <w:rsid w:val="00A50A07"/>
    <w:rsid w:val="00A512E5"/>
    <w:rsid w:val="00A5154E"/>
    <w:rsid w:val="00A53213"/>
    <w:rsid w:val="00A53769"/>
    <w:rsid w:val="00A54957"/>
    <w:rsid w:val="00A54BE2"/>
    <w:rsid w:val="00A573D8"/>
    <w:rsid w:val="00A60D72"/>
    <w:rsid w:val="00A60E08"/>
    <w:rsid w:val="00A632F5"/>
    <w:rsid w:val="00A64CE3"/>
    <w:rsid w:val="00A65BD4"/>
    <w:rsid w:val="00A65CB5"/>
    <w:rsid w:val="00A65F17"/>
    <w:rsid w:val="00A67372"/>
    <w:rsid w:val="00A675A0"/>
    <w:rsid w:val="00A71858"/>
    <w:rsid w:val="00A7208A"/>
    <w:rsid w:val="00A751D4"/>
    <w:rsid w:val="00A76AE0"/>
    <w:rsid w:val="00A80CD4"/>
    <w:rsid w:val="00A816BE"/>
    <w:rsid w:val="00A8278D"/>
    <w:rsid w:val="00A82AD1"/>
    <w:rsid w:val="00A82CDF"/>
    <w:rsid w:val="00A83024"/>
    <w:rsid w:val="00A844FE"/>
    <w:rsid w:val="00A84905"/>
    <w:rsid w:val="00A85FDF"/>
    <w:rsid w:val="00A90DD1"/>
    <w:rsid w:val="00A9250D"/>
    <w:rsid w:val="00A93D74"/>
    <w:rsid w:val="00A94F59"/>
    <w:rsid w:val="00A95D3D"/>
    <w:rsid w:val="00A96375"/>
    <w:rsid w:val="00A96E56"/>
    <w:rsid w:val="00AA382E"/>
    <w:rsid w:val="00AA4D88"/>
    <w:rsid w:val="00AA677C"/>
    <w:rsid w:val="00AA770D"/>
    <w:rsid w:val="00AA7D78"/>
    <w:rsid w:val="00AB38F7"/>
    <w:rsid w:val="00AB3EC0"/>
    <w:rsid w:val="00AB4FB3"/>
    <w:rsid w:val="00AB5226"/>
    <w:rsid w:val="00AB5D51"/>
    <w:rsid w:val="00AB66AB"/>
    <w:rsid w:val="00AB735E"/>
    <w:rsid w:val="00AC0E37"/>
    <w:rsid w:val="00AC0E4A"/>
    <w:rsid w:val="00AC4319"/>
    <w:rsid w:val="00AC5BA5"/>
    <w:rsid w:val="00AC5FB0"/>
    <w:rsid w:val="00AC60E8"/>
    <w:rsid w:val="00AC6B75"/>
    <w:rsid w:val="00AD39AE"/>
    <w:rsid w:val="00AD53EE"/>
    <w:rsid w:val="00AD62C3"/>
    <w:rsid w:val="00AD745D"/>
    <w:rsid w:val="00AE0BD8"/>
    <w:rsid w:val="00AE1D2B"/>
    <w:rsid w:val="00AE202C"/>
    <w:rsid w:val="00AE4157"/>
    <w:rsid w:val="00AE5A8E"/>
    <w:rsid w:val="00AF0CC1"/>
    <w:rsid w:val="00AF1001"/>
    <w:rsid w:val="00AF1140"/>
    <w:rsid w:val="00AF1382"/>
    <w:rsid w:val="00AF1784"/>
    <w:rsid w:val="00AF6C3A"/>
    <w:rsid w:val="00AF745D"/>
    <w:rsid w:val="00B01E78"/>
    <w:rsid w:val="00B0211E"/>
    <w:rsid w:val="00B02285"/>
    <w:rsid w:val="00B03542"/>
    <w:rsid w:val="00B05B15"/>
    <w:rsid w:val="00B05F61"/>
    <w:rsid w:val="00B12A60"/>
    <w:rsid w:val="00B13A87"/>
    <w:rsid w:val="00B13BE6"/>
    <w:rsid w:val="00B15142"/>
    <w:rsid w:val="00B1553B"/>
    <w:rsid w:val="00B16E9C"/>
    <w:rsid w:val="00B20653"/>
    <w:rsid w:val="00B20899"/>
    <w:rsid w:val="00B21BAC"/>
    <w:rsid w:val="00B24C84"/>
    <w:rsid w:val="00B25244"/>
    <w:rsid w:val="00B26284"/>
    <w:rsid w:val="00B2633D"/>
    <w:rsid w:val="00B27649"/>
    <w:rsid w:val="00B27ECC"/>
    <w:rsid w:val="00B30DF1"/>
    <w:rsid w:val="00B31500"/>
    <w:rsid w:val="00B325F1"/>
    <w:rsid w:val="00B34246"/>
    <w:rsid w:val="00B34613"/>
    <w:rsid w:val="00B3511E"/>
    <w:rsid w:val="00B364F2"/>
    <w:rsid w:val="00B36980"/>
    <w:rsid w:val="00B378D1"/>
    <w:rsid w:val="00B4015F"/>
    <w:rsid w:val="00B445FC"/>
    <w:rsid w:val="00B455A9"/>
    <w:rsid w:val="00B46309"/>
    <w:rsid w:val="00B47D70"/>
    <w:rsid w:val="00B47EA7"/>
    <w:rsid w:val="00B504FA"/>
    <w:rsid w:val="00B5102B"/>
    <w:rsid w:val="00B519AA"/>
    <w:rsid w:val="00B52B25"/>
    <w:rsid w:val="00B538CF"/>
    <w:rsid w:val="00B54098"/>
    <w:rsid w:val="00B54FD7"/>
    <w:rsid w:val="00B560A6"/>
    <w:rsid w:val="00B5719D"/>
    <w:rsid w:val="00B5772D"/>
    <w:rsid w:val="00B60757"/>
    <w:rsid w:val="00B62878"/>
    <w:rsid w:val="00B7076D"/>
    <w:rsid w:val="00B70958"/>
    <w:rsid w:val="00B714EE"/>
    <w:rsid w:val="00B716D9"/>
    <w:rsid w:val="00B721A4"/>
    <w:rsid w:val="00B727B3"/>
    <w:rsid w:val="00B75342"/>
    <w:rsid w:val="00B7713A"/>
    <w:rsid w:val="00B83187"/>
    <w:rsid w:val="00B833AE"/>
    <w:rsid w:val="00B8382E"/>
    <w:rsid w:val="00B84FC3"/>
    <w:rsid w:val="00B904CA"/>
    <w:rsid w:val="00B914A0"/>
    <w:rsid w:val="00B924E2"/>
    <w:rsid w:val="00B945BD"/>
    <w:rsid w:val="00B948B2"/>
    <w:rsid w:val="00B94A58"/>
    <w:rsid w:val="00B94B24"/>
    <w:rsid w:val="00B96859"/>
    <w:rsid w:val="00BA1F13"/>
    <w:rsid w:val="00BA2FB2"/>
    <w:rsid w:val="00BA41B5"/>
    <w:rsid w:val="00BA4361"/>
    <w:rsid w:val="00BA4ABB"/>
    <w:rsid w:val="00BA73C0"/>
    <w:rsid w:val="00BB2231"/>
    <w:rsid w:val="00BB5AD7"/>
    <w:rsid w:val="00BB65F8"/>
    <w:rsid w:val="00BB690F"/>
    <w:rsid w:val="00BB7E7A"/>
    <w:rsid w:val="00BC10C8"/>
    <w:rsid w:val="00BC2266"/>
    <w:rsid w:val="00BC261A"/>
    <w:rsid w:val="00BC2C8F"/>
    <w:rsid w:val="00BC3570"/>
    <w:rsid w:val="00BC3667"/>
    <w:rsid w:val="00BC39AC"/>
    <w:rsid w:val="00BC7F05"/>
    <w:rsid w:val="00BD0523"/>
    <w:rsid w:val="00BD0B9A"/>
    <w:rsid w:val="00BD1688"/>
    <w:rsid w:val="00BD2052"/>
    <w:rsid w:val="00BD395E"/>
    <w:rsid w:val="00BD47AD"/>
    <w:rsid w:val="00BD6C55"/>
    <w:rsid w:val="00BD739B"/>
    <w:rsid w:val="00BD7AA5"/>
    <w:rsid w:val="00BE1ACB"/>
    <w:rsid w:val="00BE4944"/>
    <w:rsid w:val="00BE4BE8"/>
    <w:rsid w:val="00BE4D2C"/>
    <w:rsid w:val="00BE5814"/>
    <w:rsid w:val="00BE5E08"/>
    <w:rsid w:val="00BE72F6"/>
    <w:rsid w:val="00BF0558"/>
    <w:rsid w:val="00BF3D66"/>
    <w:rsid w:val="00BF5E82"/>
    <w:rsid w:val="00BF5F8F"/>
    <w:rsid w:val="00BF7A8E"/>
    <w:rsid w:val="00C003DD"/>
    <w:rsid w:val="00C020F0"/>
    <w:rsid w:val="00C02B2E"/>
    <w:rsid w:val="00C02DFE"/>
    <w:rsid w:val="00C03383"/>
    <w:rsid w:val="00C062F6"/>
    <w:rsid w:val="00C10A1D"/>
    <w:rsid w:val="00C1589F"/>
    <w:rsid w:val="00C15C86"/>
    <w:rsid w:val="00C17471"/>
    <w:rsid w:val="00C17793"/>
    <w:rsid w:val="00C20236"/>
    <w:rsid w:val="00C20B59"/>
    <w:rsid w:val="00C21FCC"/>
    <w:rsid w:val="00C2285F"/>
    <w:rsid w:val="00C25A42"/>
    <w:rsid w:val="00C26311"/>
    <w:rsid w:val="00C272D3"/>
    <w:rsid w:val="00C31137"/>
    <w:rsid w:val="00C3338C"/>
    <w:rsid w:val="00C337B6"/>
    <w:rsid w:val="00C341F5"/>
    <w:rsid w:val="00C344AA"/>
    <w:rsid w:val="00C344AF"/>
    <w:rsid w:val="00C35812"/>
    <w:rsid w:val="00C410A0"/>
    <w:rsid w:val="00C41C0A"/>
    <w:rsid w:val="00C421ED"/>
    <w:rsid w:val="00C45909"/>
    <w:rsid w:val="00C45A58"/>
    <w:rsid w:val="00C45FE7"/>
    <w:rsid w:val="00C46195"/>
    <w:rsid w:val="00C468B9"/>
    <w:rsid w:val="00C474AA"/>
    <w:rsid w:val="00C47DE0"/>
    <w:rsid w:val="00C50150"/>
    <w:rsid w:val="00C51A9C"/>
    <w:rsid w:val="00C52517"/>
    <w:rsid w:val="00C53161"/>
    <w:rsid w:val="00C54956"/>
    <w:rsid w:val="00C55BB9"/>
    <w:rsid w:val="00C56E0D"/>
    <w:rsid w:val="00C60243"/>
    <w:rsid w:val="00C60F26"/>
    <w:rsid w:val="00C61845"/>
    <w:rsid w:val="00C62025"/>
    <w:rsid w:val="00C6288D"/>
    <w:rsid w:val="00C62E3A"/>
    <w:rsid w:val="00C64F63"/>
    <w:rsid w:val="00C65357"/>
    <w:rsid w:val="00C6680B"/>
    <w:rsid w:val="00C66EE1"/>
    <w:rsid w:val="00C71287"/>
    <w:rsid w:val="00C72823"/>
    <w:rsid w:val="00C75967"/>
    <w:rsid w:val="00C75B06"/>
    <w:rsid w:val="00C75D9B"/>
    <w:rsid w:val="00C76687"/>
    <w:rsid w:val="00C80AD1"/>
    <w:rsid w:val="00C81AA4"/>
    <w:rsid w:val="00C82F79"/>
    <w:rsid w:val="00C84C9B"/>
    <w:rsid w:val="00C861E6"/>
    <w:rsid w:val="00C879E5"/>
    <w:rsid w:val="00C91ED1"/>
    <w:rsid w:val="00C931EE"/>
    <w:rsid w:val="00C9502F"/>
    <w:rsid w:val="00C95818"/>
    <w:rsid w:val="00C95E8D"/>
    <w:rsid w:val="00C960A1"/>
    <w:rsid w:val="00C97114"/>
    <w:rsid w:val="00C97385"/>
    <w:rsid w:val="00CA16A3"/>
    <w:rsid w:val="00CA2E37"/>
    <w:rsid w:val="00CB03D2"/>
    <w:rsid w:val="00CB0E5E"/>
    <w:rsid w:val="00CB3B4A"/>
    <w:rsid w:val="00CB3D0A"/>
    <w:rsid w:val="00CB69E6"/>
    <w:rsid w:val="00CC1563"/>
    <w:rsid w:val="00CC51D0"/>
    <w:rsid w:val="00CC6455"/>
    <w:rsid w:val="00CC7410"/>
    <w:rsid w:val="00CC7983"/>
    <w:rsid w:val="00CD26F4"/>
    <w:rsid w:val="00CD59BA"/>
    <w:rsid w:val="00CD5E73"/>
    <w:rsid w:val="00CD6551"/>
    <w:rsid w:val="00CD6FC5"/>
    <w:rsid w:val="00CE1BA1"/>
    <w:rsid w:val="00CE5018"/>
    <w:rsid w:val="00CE535C"/>
    <w:rsid w:val="00CE5566"/>
    <w:rsid w:val="00CE6567"/>
    <w:rsid w:val="00CF24FC"/>
    <w:rsid w:val="00CF270E"/>
    <w:rsid w:val="00CF28E7"/>
    <w:rsid w:val="00CF2B6A"/>
    <w:rsid w:val="00CF333F"/>
    <w:rsid w:val="00CF3DA1"/>
    <w:rsid w:val="00CF55DD"/>
    <w:rsid w:val="00D02D25"/>
    <w:rsid w:val="00D05497"/>
    <w:rsid w:val="00D122E0"/>
    <w:rsid w:val="00D126A1"/>
    <w:rsid w:val="00D13C7C"/>
    <w:rsid w:val="00D14A4D"/>
    <w:rsid w:val="00D163F9"/>
    <w:rsid w:val="00D24D11"/>
    <w:rsid w:val="00D270DB"/>
    <w:rsid w:val="00D302B6"/>
    <w:rsid w:val="00D305A9"/>
    <w:rsid w:val="00D31459"/>
    <w:rsid w:val="00D37828"/>
    <w:rsid w:val="00D37B42"/>
    <w:rsid w:val="00D40CE0"/>
    <w:rsid w:val="00D41DC2"/>
    <w:rsid w:val="00D42286"/>
    <w:rsid w:val="00D42A38"/>
    <w:rsid w:val="00D44505"/>
    <w:rsid w:val="00D47CEC"/>
    <w:rsid w:val="00D50BDF"/>
    <w:rsid w:val="00D51DF5"/>
    <w:rsid w:val="00D5465B"/>
    <w:rsid w:val="00D552F5"/>
    <w:rsid w:val="00D56054"/>
    <w:rsid w:val="00D560CF"/>
    <w:rsid w:val="00D60C74"/>
    <w:rsid w:val="00D64DAF"/>
    <w:rsid w:val="00D66E95"/>
    <w:rsid w:val="00D730CB"/>
    <w:rsid w:val="00D742C0"/>
    <w:rsid w:val="00D746DE"/>
    <w:rsid w:val="00D832C9"/>
    <w:rsid w:val="00D8346B"/>
    <w:rsid w:val="00D86E0D"/>
    <w:rsid w:val="00D875E2"/>
    <w:rsid w:val="00D87C17"/>
    <w:rsid w:val="00D956FA"/>
    <w:rsid w:val="00D974E5"/>
    <w:rsid w:val="00D97E41"/>
    <w:rsid w:val="00DA0966"/>
    <w:rsid w:val="00DA1973"/>
    <w:rsid w:val="00DA1B3E"/>
    <w:rsid w:val="00DA3B68"/>
    <w:rsid w:val="00DA406D"/>
    <w:rsid w:val="00DA69A9"/>
    <w:rsid w:val="00DA7DDB"/>
    <w:rsid w:val="00DB293A"/>
    <w:rsid w:val="00DB4E53"/>
    <w:rsid w:val="00DB5463"/>
    <w:rsid w:val="00DB5698"/>
    <w:rsid w:val="00DB6D67"/>
    <w:rsid w:val="00DC0BF0"/>
    <w:rsid w:val="00DC1714"/>
    <w:rsid w:val="00DC221D"/>
    <w:rsid w:val="00DC3CB3"/>
    <w:rsid w:val="00DC550F"/>
    <w:rsid w:val="00DC5FC8"/>
    <w:rsid w:val="00DD0383"/>
    <w:rsid w:val="00DD03AA"/>
    <w:rsid w:val="00DD3CB3"/>
    <w:rsid w:val="00DD3D5D"/>
    <w:rsid w:val="00DD5368"/>
    <w:rsid w:val="00DD5752"/>
    <w:rsid w:val="00DD57EF"/>
    <w:rsid w:val="00DD7CF3"/>
    <w:rsid w:val="00DD7D6B"/>
    <w:rsid w:val="00DE408B"/>
    <w:rsid w:val="00DF0267"/>
    <w:rsid w:val="00E00253"/>
    <w:rsid w:val="00E00339"/>
    <w:rsid w:val="00E0051E"/>
    <w:rsid w:val="00E01682"/>
    <w:rsid w:val="00E02780"/>
    <w:rsid w:val="00E02DFD"/>
    <w:rsid w:val="00E02FD2"/>
    <w:rsid w:val="00E056CF"/>
    <w:rsid w:val="00E0735B"/>
    <w:rsid w:val="00E11800"/>
    <w:rsid w:val="00E142A8"/>
    <w:rsid w:val="00E14EA6"/>
    <w:rsid w:val="00E15280"/>
    <w:rsid w:val="00E154E0"/>
    <w:rsid w:val="00E15A18"/>
    <w:rsid w:val="00E15BC5"/>
    <w:rsid w:val="00E16797"/>
    <w:rsid w:val="00E16DA5"/>
    <w:rsid w:val="00E21A03"/>
    <w:rsid w:val="00E22D5E"/>
    <w:rsid w:val="00E22F5E"/>
    <w:rsid w:val="00E250A7"/>
    <w:rsid w:val="00E26A6E"/>
    <w:rsid w:val="00E27F1E"/>
    <w:rsid w:val="00E30768"/>
    <w:rsid w:val="00E33742"/>
    <w:rsid w:val="00E344C1"/>
    <w:rsid w:val="00E3473A"/>
    <w:rsid w:val="00E366F5"/>
    <w:rsid w:val="00E36904"/>
    <w:rsid w:val="00E37E10"/>
    <w:rsid w:val="00E409B9"/>
    <w:rsid w:val="00E40D34"/>
    <w:rsid w:val="00E41B47"/>
    <w:rsid w:val="00E43926"/>
    <w:rsid w:val="00E456EB"/>
    <w:rsid w:val="00E476A3"/>
    <w:rsid w:val="00E47D4D"/>
    <w:rsid w:val="00E5253D"/>
    <w:rsid w:val="00E52747"/>
    <w:rsid w:val="00E52D3B"/>
    <w:rsid w:val="00E52EBD"/>
    <w:rsid w:val="00E53068"/>
    <w:rsid w:val="00E53934"/>
    <w:rsid w:val="00E54B7F"/>
    <w:rsid w:val="00E57070"/>
    <w:rsid w:val="00E61908"/>
    <w:rsid w:val="00E6294C"/>
    <w:rsid w:val="00E6322C"/>
    <w:rsid w:val="00E636AA"/>
    <w:rsid w:val="00E63B99"/>
    <w:rsid w:val="00E65995"/>
    <w:rsid w:val="00E70C4F"/>
    <w:rsid w:val="00E73CD0"/>
    <w:rsid w:val="00E743E0"/>
    <w:rsid w:val="00E7494C"/>
    <w:rsid w:val="00E75120"/>
    <w:rsid w:val="00E812C4"/>
    <w:rsid w:val="00E85843"/>
    <w:rsid w:val="00E861A5"/>
    <w:rsid w:val="00E8655F"/>
    <w:rsid w:val="00E86B19"/>
    <w:rsid w:val="00E86E32"/>
    <w:rsid w:val="00E934FB"/>
    <w:rsid w:val="00E9571E"/>
    <w:rsid w:val="00E96132"/>
    <w:rsid w:val="00E961DD"/>
    <w:rsid w:val="00E96616"/>
    <w:rsid w:val="00E96FC3"/>
    <w:rsid w:val="00EA05C3"/>
    <w:rsid w:val="00EA5653"/>
    <w:rsid w:val="00EA6499"/>
    <w:rsid w:val="00EA73E6"/>
    <w:rsid w:val="00EB0BCE"/>
    <w:rsid w:val="00EB0CE3"/>
    <w:rsid w:val="00EB2333"/>
    <w:rsid w:val="00EB273E"/>
    <w:rsid w:val="00EB29F1"/>
    <w:rsid w:val="00EB2CB3"/>
    <w:rsid w:val="00EB34A4"/>
    <w:rsid w:val="00EB3C65"/>
    <w:rsid w:val="00EB62F7"/>
    <w:rsid w:val="00EB7490"/>
    <w:rsid w:val="00EB7593"/>
    <w:rsid w:val="00EC17CC"/>
    <w:rsid w:val="00EC2CA1"/>
    <w:rsid w:val="00EC4A72"/>
    <w:rsid w:val="00EC5E96"/>
    <w:rsid w:val="00EC65D8"/>
    <w:rsid w:val="00EC76D8"/>
    <w:rsid w:val="00ED232E"/>
    <w:rsid w:val="00ED3436"/>
    <w:rsid w:val="00ED5189"/>
    <w:rsid w:val="00ED6B96"/>
    <w:rsid w:val="00ED7CF3"/>
    <w:rsid w:val="00EE092D"/>
    <w:rsid w:val="00EE3D8F"/>
    <w:rsid w:val="00EE3F2D"/>
    <w:rsid w:val="00EE3F36"/>
    <w:rsid w:val="00EE48A5"/>
    <w:rsid w:val="00EE58C0"/>
    <w:rsid w:val="00EE71E7"/>
    <w:rsid w:val="00EE7EC2"/>
    <w:rsid w:val="00EF09BF"/>
    <w:rsid w:val="00EF42BD"/>
    <w:rsid w:val="00EF438D"/>
    <w:rsid w:val="00EF46B4"/>
    <w:rsid w:val="00EF6E8E"/>
    <w:rsid w:val="00EF7B2F"/>
    <w:rsid w:val="00F03F6A"/>
    <w:rsid w:val="00F04383"/>
    <w:rsid w:val="00F05AA5"/>
    <w:rsid w:val="00F06F35"/>
    <w:rsid w:val="00F13884"/>
    <w:rsid w:val="00F1423E"/>
    <w:rsid w:val="00F14A0C"/>
    <w:rsid w:val="00F16F01"/>
    <w:rsid w:val="00F21883"/>
    <w:rsid w:val="00F22142"/>
    <w:rsid w:val="00F258E3"/>
    <w:rsid w:val="00F26333"/>
    <w:rsid w:val="00F269BA"/>
    <w:rsid w:val="00F313E7"/>
    <w:rsid w:val="00F31905"/>
    <w:rsid w:val="00F32A35"/>
    <w:rsid w:val="00F333D0"/>
    <w:rsid w:val="00F351BA"/>
    <w:rsid w:val="00F35903"/>
    <w:rsid w:val="00F36322"/>
    <w:rsid w:val="00F4092A"/>
    <w:rsid w:val="00F4134B"/>
    <w:rsid w:val="00F4202D"/>
    <w:rsid w:val="00F439B4"/>
    <w:rsid w:val="00F475D7"/>
    <w:rsid w:val="00F47D35"/>
    <w:rsid w:val="00F50E69"/>
    <w:rsid w:val="00F512A5"/>
    <w:rsid w:val="00F51E6E"/>
    <w:rsid w:val="00F5258E"/>
    <w:rsid w:val="00F533E6"/>
    <w:rsid w:val="00F55D19"/>
    <w:rsid w:val="00F64C9C"/>
    <w:rsid w:val="00F70349"/>
    <w:rsid w:val="00F70642"/>
    <w:rsid w:val="00F743EF"/>
    <w:rsid w:val="00F77E74"/>
    <w:rsid w:val="00F863CA"/>
    <w:rsid w:val="00F876F3"/>
    <w:rsid w:val="00F906B9"/>
    <w:rsid w:val="00F9161B"/>
    <w:rsid w:val="00F92E6D"/>
    <w:rsid w:val="00F95307"/>
    <w:rsid w:val="00F95FC9"/>
    <w:rsid w:val="00F96917"/>
    <w:rsid w:val="00FA04F2"/>
    <w:rsid w:val="00FA1B4D"/>
    <w:rsid w:val="00FA2C65"/>
    <w:rsid w:val="00FA3828"/>
    <w:rsid w:val="00FA6B9E"/>
    <w:rsid w:val="00FA7FAA"/>
    <w:rsid w:val="00FB041A"/>
    <w:rsid w:val="00FB1488"/>
    <w:rsid w:val="00FB1DF1"/>
    <w:rsid w:val="00FB1E4C"/>
    <w:rsid w:val="00FB2D06"/>
    <w:rsid w:val="00FB48E9"/>
    <w:rsid w:val="00FB4F8C"/>
    <w:rsid w:val="00FB505B"/>
    <w:rsid w:val="00FC151A"/>
    <w:rsid w:val="00FC35F0"/>
    <w:rsid w:val="00FC45C0"/>
    <w:rsid w:val="00FC463A"/>
    <w:rsid w:val="00FC5D82"/>
    <w:rsid w:val="00FC6731"/>
    <w:rsid w:val="00FD06F9"/>
    <w:rsid w:val="00FD2FAB"/>
    <w:rsid w:val="00FD593F"/>
    <w:rsid w:val="00FD61AD"/>
    <w:rsid w:val="00FE2BAE"/>
    <w:rsid w:val="00FE397B"/>
    <w:rsid w:val="00FE7088"/>
    <w:rsid w:val="00FE7293"/>
    <w:rsid w:val="00FE73A6"/>
    <w:rsid w:val="00FE7686"/>
    <w:rsid w:val="00FF06BE"/>
    <w:rsid w:val="00FF14C2"/>
    <w:rsid w:val="00FF308B"/>
    <w:rsid w:val="00FF4635"/>
    <w:rsid w:val="00FF51BA"/>
    <w:rsid w:val="00FF60FF"/>
    <w:rsid w:val="00FF690D"/>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DBE553"/>
  <w15:docId w15:val="{D2CFD17B-36C5-4048-BB43-0059F9DAD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0CE0"/>
    <w:pPr>
      <w:spacing w:line="360" w:lineRule="auto"/>
      <w:jc w:val="both"/>
    </w:pPr>
    <w:rPr>
      <w:rFonts w:ascii="Times New Roman" w:eastAsia="Times New Roman" w:hAnsi="Times New Roman"/>
      <w:szCs w:val="24"/>
      <w:lang w:eastAsia="de-DE"/>
    </w:rPr>
  </w:style>
  <w:style w:type="paragraph" w:styleId="Heading1">
    <w:name w:val="heading 1"/>
    <w:basedOn w:val="Normal"/>
    <w:next w:val="Normal"/>
    <w:link w:val="Heading1Char"/>
    <w:qFormat/>
    <w:rsid w:val="00075F28"/>
    <w:pPr>
      <w:keepNext/>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qFormat/>
    <w:rsid w:val="00E00339"/>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5A4F32"/>
    <w:pPr>
      <w:keepNext/>
      <w:spacing w:before="240" w:after="240" w:line="240" w:lineRule="auto"/>
      <w:outlineLvl w:val="2"/>
    </w:pPr>
    <w:rPr>
      <w:rFonts w:cs="Arial"/>
      <w:b/>
      <w:bCs/>
      <w:szCs w:val="26"/>
    </w:rPr>
  </w:style>
  <w:style w:type="paragraph" w:styleId="Heading4">
    <w:name w:val="heading 4"/>
    <w:basedOn w:val="Normal"/>
    <w:next w:val="Normal"/>
    <w:link w:val="Heading4Char"/>
    <w:rsid w:val="00ED6B96"/>
    <w:pPr>
      <w:keepNext/>
      <w:outlineLvl w:val="3"/>
    </w:pPr>
    <w:rPr>
      <w:b/>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eNormal"/>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ED6B96"/>
    <w:pPr>
      <w:tabs>
        <w:tab w:val="center" w:pos="4536"/>
        <w:tab w:val="right" w:pos="9072"/>
      </w:tabs>
    </w:pPr>
  </w:style>
  <w:style w:type="character" w:customStyle="1" w:styleId="Heading1Char">
    <w:name w:val="Heading 1 Char"/>
    <w:link w:val="Heading1"/>
    <w:rsid w:val="00075F28"/>
    <w:rPr>
      <w:rFonts w:ascii="Times New Roman" w:eastAsia="Times New Roman" w:hAnsi="Times New Roman" w:cs="Arial"/>
      <w:b/>
      <w:bCs/>
      <w:color w:val="000000"/>
      <w:kern w:val="32"/>
      <w:szCs w:val="32"/>
      <w:lang w:eastAsia="de-DE"/>
    </w:rPr>
  </w:style>
  <w:style w:type="character" w:customStyle="1" w:styleId="Heading3Char">
    <w:name w:val="Heading 3 Char"/>
    <w:link w:val="Heading3"/>
    <w:rsid w:val="005A4F32"/>
    <w:rPr>
      <w:rFonts w:ascii="Times New Roman" w:eastAsia="Times New Roman" w:hAnsi="Times New Roman" w:cs="Arial"/>
      <w:b/>
      <w:bCs/>
      <w:szCs w:val="26"/>
      <w:lang w:eastAsia="de-DE"/>
    </w:rPr>
  </w:style>
  <w:style w:type="character" w:customStyle="1" w:styleId="Heading4Char">
    <w:name w:val="Heading 4 Char"/>
    <w:link w:val="Heading4"/>
    <w:rsid w:val="00796A7F"/>
    <w:rPr>
      <w:rFonts w:ascii="Verdana" w:eastAsia="Times New Roman" w:hAnsi="Verdana" w:cs="Times New Roman"/>
      <w:b/>
      <w:bCs/>
      <w:sz w:val="19"/>
      <w:szCs w:val="28"/>
      <w:lang w:eastAsia="de-DE"/>
    </w:rPr>
  </w:style>
  <w:style w:type="character" w:customStyle="1" w:styleId="HeaderChar">
    <w:name w:val="Header Char"/>
    <w:link w:val="Header"/>
    <w:rsid w:val="00ED6B96"/>
    <w:rPr>
      <w:rFonts w:ascii="Verdana" w:eastAsia="Times New Roman" w:hAnsi="Verdana" w:cs="Times New Roman"/>
      <w:sz w:val="19"/>
      <w:szCs w:val="24"/>
      <w:lang w:eastAsia="de-DE"/>
    </w:rPr>
  </w:style>
  <w:style w:type="character" w:customStyle="1" w:styleId="Heading2Char">
    <w:name w:val="Heading 2 Char"/>
    <w:link w:val="Heading2"/>
    <w:rsid w:val="00E00339"/>
    <w:rPr>
      <w:rFonts w:ascii="Times New Roman" w:eastAsia="Times New Roman" w:hAnsi="Times New Roman" w:cs="Arial"/>
      <w:b/>
      <w:bCs/>
      <w:iCs/>
      <w:szCs w:val="28"/>
      <w:lang w:eastAsia="de-DE"/>
    </w:rPr>
  </w:style>
  <w:style w:type="character" w:styleId="Hyperlink">
    <w:name w:val="Hyperlink"/>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DefaultParagraphFont"/>
    <w:link w:val="CopernicusWordtemplate"/>
    <w:rsid w:val="00B5719D"/>
    <w:rPr>
      <w:rFonts w:ascii="Times New Roman" w:eastAsia="Times New Roman" w:hAnsi="Times New Roman"/>
      <w:sz w:val="24"/>
      <w:szCs w:val="24"/>
      <w:lang w:eastAsia="de-DE"/>
    </w:rPr>
  </w:style>
  <w:style w:type="character" w:styleId="LineNumber">
    <w:name w:val="line number"/>
    <w:basedOn w:val="DefaultParagraphFont"/>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ListParagraph">
    <w:name w:val="List Paragraph"/>
    <w:basedOn w:val="Normal"/>
    <w:uiPriority w:val="34"/>
    <w:rsid w:val="00B4015F"/>
    <w:pPr>
      <w:ind w:left="720"/>
      <w:contextualSpacing/>
    </w:pPr>
  </w:style>
  <w:style w:type="character" w:customStyle="1" w:styleId="MStitleChar">
    <w:name w:val="MS title Char"/>
    <w:basedOn w:val="DefaultParagraphFont"/>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PlaceholderText">
    <w:name w:val="Placeholder Text"/>
    <w:basedOn w:val="DefaultParagraphFont"/>
    <w:uiPriority w:val="99"/>
    <w:semiHidden/>
    <w:rsid w:val="003D5288"/>
    <w:rPr>
      <w:color w:val="808080"/>
    </w:rPr>
  </w:style>
  <w:style w:type="character" w:customStyle="1" w:styleId="AffiliationChar">
    <w:name w:val="Affiliation Char"/>
    <w:basedOn w:val="DefaultParagraphFont"/>
    <w:link w:val="Affiliation"/>
    <w:rsid w:val="00450DB9"/>
    <w:rPr>
      <w:rFonts w:ascii="Times New Roman" w:eastAsia="Times New Roman" w:hAnsi="Times New Roman"/>
      <w:szCs w:val="24"/>
      <w:lang w:eastAsia="de-DE"/>
    </w:rPr>
  </w:style>
  <w:style w:type="paragraph" w:styleId="BalloonText">
    <w:name w:val="Balloon Text"/>
    <w:basedOn w:val="Normal"/>
    <w:link w:val="BalloonTextChar"/>
    <w:uiPriority w:val="99"/>
    <w:semiHidden/>
    <w:unhideWhenUsed/>
    <w:rsid w:val="003D528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Caption">
    <w:name w:val="caption"/>
    <w:basedOn w:val="Normal"/>
    <w:next w:val="Normal"/>
    <w:uiPriority w:val="35"/>
    <w:unhideWhenUsed/>
    <w:qFormat/>
    <w:rsid w:val="003A4FB4"/>
    <w:pPr>
      <w:spacing w:after="200" w:line="240" w:lineRule="auto"/>
    </w:pPr>
    <w:rPr>
      <w:b/>
      <w:bCs/>
      <w:sz w:val="18"/>
      <w:szCs w:val="18"/>
    </w:rPr>
  </w:style>
  <w:style w:type="character" w:customStyle="1" w:styleId="EquationChar">
    <w:name w:val="Equation Char"/>
    <w:basedOn w:val="DefaultParagraphFont"/>
    <w:link w:val="Equation"/>
    <w:rsid w:val="00C35812"/>
    <w:rPr>
      <w:rFonts w:ascii="Cambria Math" w:eastAsia="Times New Roman" w:hAnsi="Cambria Math"/>
      <w:szCs w:val="24"/>
      <w:lang w:eastAsia="de-DE"/>
    </w:rPr>
  </w:style>
  <w:style w:type="paragraph" w:styleId="Footer">
    <w:name w:val="footer"/>
    <w:basedOn w:val="Normal"/>
    <w:link w:val="FooterChar"/>
    <w:uiPriority w:val="99"/>
    <w:unhideWhenUsed/>
    <w:rsid w:val="006D0C96"/>
    <w:pPr>
      <w:tabs>
        <w:tab w:val="center" w:pos="4513"/>
        <w:tab w:val="right" w:pos="9026"/>
      </w:tabs>
      <w:spacing w:line="240" w:lineRule="auto"/>
    </w:pPr>
  </w:style>
  <w:style w:type="character" w:customStyle="1" w:styleId="FooterChar">
    <w:name w:val="Footer Char"/>
    <w:basedOn w:val="DefaultParagraphFont"/>
    <w:link w:val="Footer"/>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DefaultParagraphFont"/>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DefaultParagraphFont"/>
    <w:link w:val="Authors"/>
    <w:rsid w:val="00BD0523"/>
    <w:rPr>
      <w:rFonts w:ascii="Times New Roman" w:eastAsia="Times New Roman" w:hAnsi="Times New Roman"/>
      <w:sz w:val="24"/>
      <w:szCs w:val="24"/>
      <w:lang w:eastAsia="de-DE"/>
    </w:rPr>
  </w:style>
  <w:style w:type="paragraph" w:styleId="Bibliography">
    <w:name w:val="Bibliography"/>
    <w:basedOn w:val="Normal"/>
    <w:next w:val="Normal"/>
    <w:uiPriority w:val="37"/>
    <w:unhideWhenUsed/>
    <w:rsid w:val="008F4E89"/>
    <w:pPr>
      <w:spacing w:after="240" w:line="240" w:lineRule="auto"/>
    </w:pPr>
  </w:style>
  <w:style w:type="character" w:styleId="CommentReference">
    <w:name w:val="annotation reference"/>
    <w:basedOn w:val="DefaultParagraphFont"/>
    <w:uiPriority w:val="99"/>
    <w:semiHidden/>
    <w:unhideWhenUsed/>
    <w:rsid w:val="005A3F60"/>
    <w:rPr>
      <w:sz w:val="16"/>
      <w:szCs w:val="16"/>
    </w:rPr>
  </w:style>
  <w:style w:type="paragraph" w:styleId="CommentText">
    <w:name w:val="annotation text"/>
    <w:basedOn w:val="Normal"/>
    <w:link w:val="CommentTextChar"/>
    <w:uiPriority w:val="99"/>
    <w:unhideWhenUsed/>
    <w:rsid w:val="005A3F60"/>
    <w:pPr>
      <w:spacing w:line="240" w:lineRule="auto"/>
    </w:pPr>
    <w:rPr>
      <w:szCs w:val="20"/>
    </w:rPr>
  </w:style>
  <w:style w:type="character" w:customStyle="1" w:styleId="CommentTextChar">
    <w:name w:val="Comment Text Char"/>
    <w:basedOn w:val="DefaultParagraphFont"/>
    <w:link w:val="CommentText"/>
    <w:uiPriority w:val="99"/>
    <w:rsid w:val="005A3F60"/>
    <w:rPr>
      <w:rFonts w:ascii="Times New Roman" w:eastAsia="Times New Roman" w:hAnsi="Times New Roman"/>
      <w:lang w:eastAsia="de-DE"/>
    </w:rPr>
  </w:style>
  <w:style w:type="paragraph" w:styleId="CommentSubject">
    <w:name w:val="annotation subject"/>
    <w:basedOn w:val="CommentText"/>
    <w:next w:val="CommentText"/>
    <w:link w:val="CommentSubjectChar"/>
    <w:uiPriority w:val="99"/>
    <w:semiHidden/>
    <w:unhideWhenUsed/>
    <w:rsid w:val="005A3F60"/>
    <w:rPr>
      <w:b/>
      <w:bCs/>
    </w:rPr>
  </w:style>
  <w:style w:type="character" w:customStyle="1" w:styleId="CommentSubjectChar">
    <w:name w:val="Comment Subject Char"/>
    <w:basedOn w:val="CommentTextChar"/>
    <w:link w:val="CommentSubject"/>
    <w:uiPriority w:val="99"/>
    <w:semiHidden/>
    <w:rsid w:val="005A3F60"/>
    <w:rPr>
      <w:rFonts w:ascii="Times New Roman" w:eastAsia="Times New Roman" w:hAnsi="Times New Roman"/>
      <w:b/>
      <w:bCs/>
      <w:lang w:eastAsia="de-DE"/>
    </w:rPr>
  </w:style>
  <w:style w:type="table" w:styleId="TableGrid">
    <w:name w:val="Table Grid"/>
    <w:basedOn w:val="TableNormal"/>
    <w:uiPriority w:val="59"/>
    <w:rsid w:val="003A28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Table6Colorful">
    <w:name w:val="List Table 6 Colorful"/>
    <w:basedOn w:val="TableNormal"/>
    <w:uiPriority w:val="51"/>
    <w:rsid w:val="003A2882"/>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7Colorful">
    <w:name w:val="List Table 7 Colorful"/>
    <w:basedOn w:val="TableNormal"/>
    <w:uiPriority w:val="52"/>
    <w:rsid w:val="003A2882"/>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1Light-Accent5">
    <w:name w:val="List Table 1 Light Accent 5"/>
    <w:basedOn w:val="TableNormal"/>
    <w:uiPriority w:val="46"/>
    <w:rsid w:val="00824E72"/>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PlainTable2">
    <w:name w:val="Plain Table 2"/>
    <w:basedOn w:val="TableNormal"/>
    <w:uiPriority w:val="42"/>
    <w:rsid w:val="009C55FE"/>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2422954">
      <w:bodyDiv w:val="1"/>
      <w:marLeft w:val="0"/>
      <w:marRight w:val="0"/>
      <w:marTop w:val="0"/>
      <w:marBottom w:val="0"/>
      <w:divBdr>
        <w:top w:val="none" w:sz="0" w:space="0" w:color="auto"/>
        <w:left w:val="none" w:sz="0" w:space="0" w:color="auto"/>
        <w:bottom w:val="none" w:sz="0" w:space="0" w:color="auto"/>
        <w:right w:val="none" w:sz="0" w:space="0" w:color="auto"/>
      </w:divBdr>
    </w:div>
    <w:div w:id="1328242585">
      <w:bodyDiv w:val="1"/>
      <w:marLeft w:val="0"/>
      <w:marRight w:val="0"/>
      <w:marTop w:val="0"/>
      <w:marBottom w:val="0"/>
      <w:divBdr>
        <w:top w:val="none" w:sz="0" w:space="0" w:color="auto"/>
        <w:left w:val="none" w:sz="0" w:space="0" w:color="auto"/>
        <w:bottom w:val="none" w:sz="0" w:space="0" w:color="auto"/>
        <w:right w:val="none" w:sz="0" w:space="0" w:color="auto"/>
      </w:divBdr>
    </w:div>
    <w:div w:id="1697806443">
      <w:bodyDiv w:val="1"/>
      <w:marLeft w:val="0"/>
      <w:marRight w:val="0"/>
      <w:marTop w:val="0"/>
      <w:marBottom w:val="0"/>
      <w:divBdr>
        <w:top w:val="none" w:sz="0" w:space="0" w:color="auto"/>
        <w:left w:val="none" w:sz="0" w:space="0" w:color="auto"/>
        <w:bottom w:val="none" w:sz="0" w:space="0" w:color="auto"/>
        <w:right w:val="none" w:sz="0" w:space="0" w:color="auto"/>
      </w:divBdr>
      <w:divsChild>
        <w:div w:id="397674232">
          <w:marLeft w:val="0"/>
          <w:marRight w:val="0"/>
          <w:marTop w:val="0"/>
          <w:marBottom w:val="0"/>
          <w:divBdr>
            <w:top w:val="none" w:sz="0" w:space="0" w:color="auto"/>
            <w:left w:val="none" w:sz="0" w:space="0" w:color="auto"/>
            <w:bottom w:val="none" w:sz="0" w:space="0" w:color="auto"/>
            <w:right w:val="none" w:sz="0" w:space="0" w:color="auto"/>
          </w:divBdr>
          <w:divsChild>
            <w:div w:id="748842543">
              <w:marLeft w:val="0"/>
              <w:marRight w:val="0"/>
              <w:marTop w:val="0"/>
              <w:marBottom w:val="0"/>
              <w:divBdr>
                <w:top w:val="none" w:sz="0" w:space="0" w:color="auto"/>
                <w:left w:val="none" w:sz="0" w:space="0" w:color="auto"/>
                <w:bottom w:val="none" w:sz="0" w:space="0" w:color="auto"/>
                <w:right w:val="none" w:sz="0" w:space="0" w:color="auto"/>
              </w:divBdr>
              <w:divsChild>
                <w:div w:id="733311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179715">
          <w:marLeft w:val="0"/>
          <w:marRight w:val="0"/>
          <w:marTop w:val="0"/>
          <w:marBottom w:val="0"/>
          <w:divBdr>
            <w:top w:val="none" w:sz="0" w:space="0" w:color="auto"/>
            <w:left w:val="none" w:sz="0" w:space="0" w:color="auto"/>
            <w:bottom w:val="none" w:sz="0" w:space="0" w:color="auto"/>
            <w:right w:val="none" w:sz="0" w:space="0" w:color="auto"/>
          </w:divBdr>
          <w:divsChild>
            <w:div w:id="1439713340">
              <w:marLeft w:val="0"/>
              <w:marRight w:val="0"/>
              <w:marTop w:val="0"/>
              <w:marBottom w:val="0"/>
              <w:divBdr>
                <w:top w:val="none" w:sz="0" w:space="0" w:color="auto"/>
                <w:left w:val="none" w:sz="0" w:space="0" w:color="auto"/>
                <w:bottom w:val="none" w:sz="0" w:space="0" w:color="auto"/>
                <w:right w:val="none" w:sz="0" w:space="0" w:color="auto"/>
              </w:divBdr>
              <w:divsChild>
                <w:div w:id="967706310">
                  <w:marLeft w:val="0"/>
                  <w:marRight w:val="0"/>
                  <w:marTop w:val="0"/>
                  <w:marBottom w:val="0"/>
                  <w:divBdr>
                    <w:top w:val="none" w:sz="0" w:space="0" w:color="auto"/>
                    <w:left w:val="none" w:sz="0" w:space="0" w:color="auto"/>
                    <w:bottom w:val="none" w:sz="0" w:space="0" w:color="auto"/>
                    <w:right w:val="none" w:sz="0" w:space="0" w:color="auto"/>
                  </w:divBdr>
                </w:div>
                <w:div w:id="1420910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A4FDE8-F468-4358-9F5B-AA26B12680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Blank.dotm</Template>
  <TotalTime>605</TotalTime>
  <Pages>9</Pages>
  <Words>9095</Words>
  <Characters>48207</Characters>
  <Application>Microsoft Office Word</Application>
  <DocSecurity>0</DocSecurity>
  <Lines>401</Lines>
  <Paragraphs>114</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57188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anna_h_braaten@hotmail.com</dc:creator>
  <cp:lastModifiedBy>Anna Hauge Braaten</cp:lastModifiedBy>
  <cp:revision>110</cp:revision>
  <cp:lastPrinted>2016-02-01T07:21:00Z</cp:lastPrinted>
  <dcterms:created xsi:type="dcterms:W3CDTF">2023-03-10T12:44:00Z</dcterms:created>
  <dcterms:modified xsi:type="dcterms:W3CDTF">2023-09-01T12:02:00Z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zotero-version="6.0.22"&gt;&lt;session id="hR4gQmXd"/&gt;&lt;style id="http://www.zotero.org/styles/climate-of-the-past" hasBibliography="1" bibliographyStyleHasBeenSet="1"/&gt;&lt;prefs&gt;&lt;pref name="fieldType" value="Field"/&gt;&lt;pref name="automaticJour</vt:lpwstr>
  </property>
  <property fmtid="{D5CDD505-2E9C-101B-9397-08002B2CF9AE}" pid="3" name="ZOTERO_PREF_2">
    <vt:lpwstr>nalAbbreviations" value="true"/&gt;&lt;/prefs&gt;&lt;/data&gt;</vt:lpwstr>
  </property>
</Properties>
</file>